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55F3E">
      <w:pPr>
        <w:pStyle w:val="10"/>
        <w:spacing w:before="93"/>
        <w:jc w:val="center"/>
        <w:rPr>
          <w:rFonts w:ascii="Times New Roman" w:eastAsia="方正小标宋简体"/>
          <w:kern w:val="2"/>
          <w:sz w:val="44"/>
          <w:szCs w:val="44"/>
        </w:rPr>
      </w:pPr>
      <w:bookmarkStart w:id="0" w:name="_Toc15306267"/>
      <w:bookmarkStart w:id="1" w:name="_Toc15396476"/>
      <w:bookmarkStart w:id="2" w:name="_Toc15378442"/>
      <w:bookmarkStart w:id="3" w:name="_Toc15377194"/>
      <w:bookmarkStart w:id="4" w:name="_Toc15396598"/>
      <w:bookmarkStart w:id="5" w:name="_Toc15377426"/>
    </w:p>
    <w:p w14:paraId="0CEBB8C6">
      <w:pPr>
        <w:pStyle w:val="10"/>
        <w:spacing w:before="93"/>
        <w:jc w:val="center"/>
        <w:rPr>
          <w:rFonts w:ascii="Times New Roman" w:eastAsia="方正小标宋简体"/>
          <w:kern w:val="2"/>
          <w:sz w:val="44"/>
          <w:szCs w:val="44"/>
        </w:rPr>
      </w:pPr>
    </w:p>
    <w:p w14:paraId="1EB75D18">
      <w:pPr>
        <w:pStyle w:val="10"/>
        <w:spacing w:before="93"/>
        <w:jc w:val="center"/>
        <w:rPr>
          <w:rFonts w:ascii="Times New Roman" w:eastAsia="方正小标宋简体"/>
          <w:kern w:val="2"/>
          <w:sz w:val="44"/>
          <w:szCs w:val="44"/>
        </w:rPr>
      </w:pPr>
    </w:p>
    <w:p w14:paraId="4B61A127">
      <w:pPr>
        <w:pStyle w:val="10"/>
        <w:spacing w:before="93"/>
        <w:jc w:val="center"/>
        <w:rPr>
          <w:rFonts w:ascii="Times New Roman" w:eastAsia="方正小标宋简体"/>
          <w:kern w:val="2"/>
          <w:sz w:val="44"/>
          <w:szCs w:val="44"/>
        </w:rPr>
      </w:pPr>
    </w:p>
    <w:p w14:paraId="2DBD34DF">
      <w:pPr>
        <w:pStyle w:val="10"/>
        <w:spacing w:before="93"/>
        <w:jc w:val="center"/>
        <w:rPr>
          <w:rFonts w:ascii="Times New Roman" w:eastAsia="方正小标宋简体"/>
          <w:kern w:val="2"/>
          <w:sz w:val="44"/>
          <w:szCs w:val="44"/>
        </w:rPr>
      </w:pPr>
    </w:p>
    <w:p w14:paraId="0DEC6A5F">
      <w:pPr>
        <w:pStyle w:val="10"/>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w:t>
      </w:r>
    </w:p>
    <w:p w14:paraId="31E3B5D9">
      <w:pPr>
        <w:pStyle w:val="10"/>
        <w:spacing w:before="93"/>
        <w:jc w:val="center"/>
        <w:rPr>
          <w:rFonts w:ascii="Times New Roman" w:eastAsia="方正小标宋简体"/>
          <w:kern w:val="2"/>
          <w:sz w:val="44"/>
          <w:szCs w:val="44"/>
        </w:rPr>
      </w:pPr>
      <w:r>
        <w:rPr>
          <w:rFonts w:hint="eastAsia" w:ascii="Times New Roman" w:eastAsia="方正小标宋简体"/>
          <w:kern w:val="2"/>
          <w:sz w:val="44"/>
          <w:szCs w:val="44"/>
        </w:rPr>
        <w:t>攀枝花市</w:t>
      </w:r>
      <w:bookmarkEnd w:id="0"/>
      <w:bookmarkStart w:id="6" w:name="_Toc15306268"/>
      <w:r>
        <w:rPr>
          <w:rFonts w:hint="eastAsia" w:ascii="Times New Roman" w:eastAsia="方正小标宋简体"/>
          <w:kern w:val="2"/>
          <w:sz w:val="44"/>
          <w:szCs w:val="44"/>
        </w:rPr>
        <w:t>农林科学研究院</w:t>
      </w:r>
    </w:p>
    <w:p w14:paraId="7254DA9A">
      <w:pPr>
        <w:pStyle w:val="10"/>
        <w:spacing w:before="93"/>
        <w:jc w:val="center"/>
        <w:rPr>
          <w:rFonts w:ascii="Times New Roman" w:eastAsia="方正小标宋简体"/>
          <w:kern w:val="2"/>
          <w:sz w:val="44"/>
          <w:szCs w:val="44"/>
        </w:rPr>
      </w:pPr>
      <w:r>
        <w:rPr>
          <w:rFonts w:hint="eastAsia" w:ascii="Times New Roman" w:eastAsia="方正小标宋简体"/>
          <w:kern w:val="2"/>
          <w:sz w:val="44"/>
          <w:szCs w:val="44"/>
        </w:rPr>
        <w:t>部门决算</w:t>
      </w:r>
      <w:bookmarkEnd w:id="1"/>
      <w:bookmarkEnd w:id="2"/>
      <w:bookmarkEnd w:id="3"/>
      <w:bookmarkEnd w:id="4"/>
      <w:bookmarkEnd w:id="5"/>
      <w:bookmarkEnd w:id="6"/>
    </w:p>
    <w:p w14:paraId="79C9E7E3">
      <w:pPr>
        <w:widowControl/>
        <w:jc w:val="center"/>
        <w:rPr>
          <w:rFonts w:eastAsia="黑体" w:cstheme="minorBidi"/>
          <w:sz w:val="28"/>
          <w:szCs w:val="28"/>
        </w:rPr>
      </w:pPr>
    </w:p>
    <w:p w14:paraId="73C27F55">
      <w:pPr>
        <w:widowControl/>
        <w:jc w:val="center"/>
        <w:rPr>
          <w:rFonts w:eastAsia="黑体" w:cstheme="minorBidi"/>
          <w:sz w:val="28"/>
          <w:szCs w:val="28"/>
        </w:rPr>
      </w:pPr>
    </w:p>
    <w:p w14:paraId="541EDA0C">
      <w:pPr>
        <w:widowControl/>
        <w:jc w:val="center"/>
        <w:rPr>
          <w:rFonts w:eastAsia="黑体" w:cstheme="minorBidi"/>
          <w:sz w:val="28"/>
          <w:szCs w:val="28"/>
        </w:rPr>
      </w:pPr>
    </w:p>
    <w:p w14:paraId="3A8EFB53">
      <w:pPr>
        <w:widowControl/>
        <w:jc w:val="center"/>
        <w:rPr>
          <w:rFonts w:eastAsia="黑体" w:cstheme="minorBidi"/>
          <w:sz w:val="28"/>
          <w:szCs w:val="28"/>
        </w:rPr>
      </w:pPr>
    </w:p>
    <w:p w14:paraId="69EC1B63">
      <w:pPr>
        <w:widowControl/>
        <w:jc w:val="center"/>
        <w:rPr>
          <w:rFonts w:eastAsia="黑体" w:cstheme="minorBidi"/>
          <w:sz w:val="28"/>
          <w:szCs w:val="28"/>
        </w:rPr>
      </w:pPr>
    </w:p>
    <w:p w14:paraId="46543503">
      <w:pPr>
        <w:widowControl/>
        <w:jc w:val="center"/>
        <w:rPr>
          <w:rFonts w:eastAsia="黑体" w:cstheme="minorBidi"/>
          <w:sz w:val="28"/>
          <w:szCs w:val="28"/>
        </w:rPr>
      </w:pPr>
    </w:p>
    <w:p w14:paraId="30F89681">
      <w:pPr>
        <w:widowControl/>
        <w:jc w:val="center"/>
        <w:rPr>
          <w:rFonts w:eastAsia="黑体" w:cstheme="minorBidi"/>
          <w:sz w:val="28"/>
          <w:szCs w:val="28"/>
        </w:rPr>
      </w:pPr>
    </w:p>
    <w:p w14:paraId="0873EDA3">
      <w:pPr>
        <w:widowControl/>
        <w:rPr>
          <w:rFonts w:eastAsia="黑体" w:cstheme="minorBidi"/>
          <w:sz w:val="28"/>
          <w:szCs w:val="28"/>
        </w:rPr>
      </w:pPr>
    </w:p>
    <w:p w14:paraId="2EE6B0A3">
      <w:pPr>
        <w:widowControl/>
        <w:jc w:val="center"/>
        <w:rPr>
          <w:rFonts w:eastAsia="黑体" w:cstheme="minorBidi"/>
          <w:sz w:val="28"/>
          <w:szCs w:val="28"/>
        </w:rPr>
      </w:pPr>
      <w:r>
        <w:rPr>
          <w:rFonts w:eastAsia="黑体" w:cstheme="minorBidi"/>
          <w:sz w:val="28"/>
          <w:szCs w:val="28"/>
        </w:rPr>
        <w:br w:type="page"/>
      </w:r>
    </w:p>
    <w:p w14:paraId="38B91F70">
      <w:pPr>
        <w:widowControl/>
        <w:jc w:val="center"/>
        <w:rPr>
          <w:rFonts w:eastAsia="黑体" w:cstheme="minorBidi"/>
          <w:sz w:val="44"/>
          <w:szCs w:val="44"/>
        </w:rPr>
      </w:pPr>
      <w:r>
        <w:rPr>
          <w:rFonts w:eastAsia="黑体" w:cstheme="minorBidi"/>
          <w:sz w:val="44"/>
          <w:szCs w:val="44"/>
        </w:rPr>
        <w:t>目</w:t>
      </w:r>
      <w:r>
        <w:rPr>
          <w:rFonts w:hint="eastAsia" w:eastAsia="黑体" w:cstheme="minorBidi"/>
          <w:sz w:val="44"/>
          <w:szCs w:val="44"/>
        </w:rPr>
        <w:t xml:space="preserve"> </w:t>
      </w:r>
      <w:r>
        <w:rPr>
          <w:rFonts w:eastAsia="黑体" w:cstheme="minorBidi"/>
          <w:sz w:val="44"/>
          <w:szCs w:val="44"/>
        </w:rPr>
        <w:t xml:space="preserve"> 录</w:t>
      </w:r>
    </w:p>
    <w:p w14:paraId="54D87547">
      <w:pPr>
        <w:pStyle w:val="16"/>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公开时间：2026年9月</w:t>
      </w:r>
      <w:r>
        <w:rPr>
          <w:rFonts w:hint="eastAsia" w:ascii="Times New Roman" w:hAnsi="Times New Roman" w:eastAsia="仿宋_GB2312" w:cs="仿宋_GB2312"/>
          <w:sz w:val="32"/>
          <w:szCs w:val="32"/>
          <w:lang w:val="en-US" w:eastAsia="zh-CN"/>
        </w:rPr>
        <w:t>14</w:t>
      </w:r>
      <w:bookmarkStart w:id="113" w:name="_GoBack"/>
      <w:bookmarkEnd w:id="113"/>
      <w:r>
        <w:rPr>
          <w:rFonts w:hint="eastAsia" w:ascii="Times New Roman" w:hAnsi="Times New Roman" w:eastAsia="仿宋_GB2312" w:cs="仿宋_GB2312"/>
          <w:sz w:val="32"/>
          <w:szCs w:val="32"/>
        </w:rPr>
        <w:t>日</w:t>
      </w:r>
    </w:p>
    <w:sdt>
      <w:sdtPr>
        <w:rPr>
          <w:lang w:val="zh-CN"/>
        </w:rPr>
        <w:id w:val="1060061037"/>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02F40293">
          <w:pPr>
            <w:pStyle w:val="41"/>
            <w:jc w:val="right"/>
            <w:rPr>
              <w:rFonts w:hint="eastAsia" w:ascii="仿宋" w:hAnsi="仿宋" w:eastAsia="仿宋"/>
              <w:sz w:val="30"/>
              <w:szCs w:val="30"/>
            </w:rPr>
          </w:pPr>
        </w:p>
        <w:p w14:paraId="5CA19562">
          <w:pPr>
            <w:pStyle w:val="16"/>
            <w:jc w:val="right"/>
            <w:rPr>
              <w:rFonts w:cstheme="minorBidi"/>
              <w:sz w:val="30"/>
              <w:szCs w:val="30"/>
            </w:rPr>
          </w:pPr>
          <w:r>
            <w:rPr>
              <w:sz w:val="30"/>
              <w:szCs w:val="30"/>
            </w:rPr>
            <w:fldChar w:fldCharType="begin"/>
          </w:r>
          <w:r>
            <w:rPr>
              <w:sz w:val="30"/>
              <w:szCs w:val="30"/>
            </w:rPr>
            <w:instrText xml:space="preserve"> TOC \o "1-3" \h \z \u </w:instrText>
          </w:r>
          <w:r>
            <w:rPr>
              <w:sz w:val="30"/>
              <w:szCs w:val="30"/>
            </w:rPr>
            <w:fldChar w:fldCharType="separate"/>
          </w:r>
          <w:r>
            <w:fldChar w:fldCharType="begin"/>
          </w:r>
          <w:r>
            <w:instrText xml:space="preserve"> HYPERLINK \l "_Toc239752564" </w:instrText>
          </w:r>
          <w:r>
            <w:fldChar w:fldCharType="separate"/>
          </w:r>
          <w:r>
            <w:rPr>
              <w:rStyle w:val="21"/>
              <w:rFonts w:hint="eastAsia" w:cs="方正小标宋简体"/>
              <w:sz w:val="30"/>
              <w:szCs w:val="30"/>
            </w:rPr>
            <w:t>第一部分</w:t>
          </w:r>
          <w:r>
            <w:rPr>
              <w:rStyle w:val="21"/>
              <w:rFonts w:cs="方正小标宋简体"/>
              <w:sz w:val="30"/>
              <w:szCs w:val="30"/>
            </w:rPr>
            <w:t xml:space="preserve">  </w:t>
          </w:r>
          <w:r>
            <w:rPr>
              <w:rStyle w:val="21"/>
              <w:rFonts w:hint="eastAsia" w:cs="方正小标宋简体"/>
              <w:sz w:val="30"/>
              <w:szCs w:val="30"/>
            </w:rPr>
            <w:t>部门概况</w:t>
          </w:r>
          <w:r>
            <w:rPr>
              <w:sz w:val="30"/>
              <w:szCs w:val="30"/>
            </w:rPr>
            <w:tab/>
          </w:r>
          <w:r>
            <w:rPr>
              <w:sz w:val="30"/>
              <w:szCs w:val="30"/>
            </w:rPr>
            <w:fldChar w:fldCharType="begin"/>
          </w:r>
          <w:r>
            <w:rPr>
              <w:sz w:val="30"/>
              <w:szCs w:val="30"/>
            </w:rPr>
            <w:instrText xml:space="preserve"> PAGEREF _Toc239752564 \h </w:instrText>
          </w:r>
          <w:r>
            <w:rPr>
              <w:sz w:val="30"/>
              <w:szCs w:val="30"/>
            </w:rPr>
            <w:fldChar w:fldCharType="separate"/>
          </w:r>
          <w:r>
            <w:rPr>
              <w:sz w:val="30"/>
              <w:szCs w:val="30"/>
            </w:rPr>
            <w:t>1</w:t>
          </w:r>
          <w:r>
            <w:rPr>
              <w:sz w:val="30"/>
              <w:szCs w:val="30"/>
            </w:rPr>
            <w:fldChar w:fldCharType="end"/>
          </w:r>
          <w:r>
            <w:rPr>
              <w:sz w:val="30"/>
              <w:szCs w:val="30"/>
            </w:rPr>
            <w:fldChar w:fldCharType="end"/>
          </w:r>
        </w:p>
        <w:p w14:paraId="165907D7">
          <w:pPr>
            <w:pStyle w:val="17"/>
            <w:jc w:val="right"/>
            <w:rPr>
              <w:rFonts w:ascii="仿宋" w:hAnsi="仿宋" w:eastAsia="仿宋" w:cstheme="minorBidi"/>
              <w:sz w:val="30"/>
              <w:szCs w:val="30"/>
            </w:rPr>
          </w:pPr>
          <w:r>
            <w:fldChar w:fldCharType="begin"/>
          </w:r>
          <w:r>
            <w:instrText xml:space="preserve"> HYPERLINK \l "_Toc239752565" </w:instrText>
          </w:r>
          <w:r>
            <w:fldChar w:fldCharType="separate"/>
          </w:r>
          <w:r>
            <w:rPr>
              <w:rStyle w:val="21"/>
              <w:rFonts w:hint="eastAsia" w:ascii="仿宋" w:hAnsi="仿宋" w:eastAsia="仿宋"/>
              <w:sz w:val="30"/>
              <w:szCs w:val="30"/>
            </w:rPr>
            <w:t>一、 部门职责</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_Toc239752565 \h </w:instrText>
          </w:r>
          <w:r>
            <w:rPr>
              <w:rFonts w:ascii="仿宋" w:hAnsi="仿宋" w:eastAsia="仿宋"/>
              <w:sz w:val="30"/>
              <w:szCs w:val="30"/>
            </w:rPr>
            <w:fldChar w:fldCharType="separate"/>
          </w:r>
          <w:r>
            <w:rPr>
              <w:rFonts w:ascii="仿宋" w:hAnsi="仿宋" w:eastAsia="仿宋"/>
              <w:sz w:val="30"/>
              <w:szCs w:val="30"/>
            </w:rPr>
            <w:t>1</w:t>
          </w:r>
          <w:r>
            <w:rPr>
              <w:rFonts w:ascii="仿宋" w:hAnsi="仿宋" w:eastAsia="仿宋"/>
              <w:sz w:val="30"/>
              <w:szCs w:val="30"/>
            </w:rPr>
            <w:fldChar w:fldCharType="end"/>
          </w:r>
          <w:r>
            <w:rPr>
              <w:rFonts w:ascii="仿宋" w:hAnsi="仿宋" w:eastAsia="仿宋"/>
              <w:sz w:val="30"/>
              <w:szCs w:val="30"/>
            </w:rPr>
            <w:fldChar w:fldCharType="end"/>
          </w:r>
        </w:p>
        <w:p w14:paraId="24994E66">
          <w:pPr>
            <w:pStyle w:val="17"/>
            <w:jc w:val="right"/>
            <w:rPr>
              <w:rFonts w:ascii="仿宋" w:hAnsi="仿宋" w:eastAsia="仿宋" w:cstheme="minorBidi"/>
              <w:sz w:val="30"/>
              <w:szCs w:val="30"/>
            </w:rPr>
          </w:pPr>
          <w:r>
            <w:fldChar w:fldCharType="begin"/>
          </w:r>
          <w:r>
            <w:instrText xml:space="preserve"> HYPERLINK \l "_Toc239752566" </w:instrText>
          </w:r>
          <w:r>
            <w:fldChar w:fldCharType="separate"/>
          </w:r>
          <w:r>
            <w:rPr>
              <w:rStyle w:val="21"/>
              <w:rFonts w:hint="eastAsia" w:ascii="仿宋" w:hAnsi="仿宋" w:eastAsia="仿宋"/>
              <w:sz w:val="30"/>
              <w:szCs w:val="30"/>
            </w:rPr>
            <w:t>二、机构设置</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_Toc239752566 \h </w:instrText>
          </w:r>
          <w:r>
            <w:rPr>
              <w:rFonts w:ascii="仿宋" w:hAnsi="仿宋" w:eastAsia="仿宋"/>
              <w:sz w:val="30"/>
              <w:szCs w:val="30"/>
            </w:rPr>
            <w:fldChar w:fldCharType="separate"/>
          </w:r>
          <w:r>
            <w:rPr>
              <w:rFonts w:ascii="仿宋" w:hAnsi="仿宋" w:eastAsia="仿宋"/>
              <w:sz w:val="30"/>
              <w:szCs w:val="30"/>
            </w:rPr>
            <w:t>1</w:t>
          </w:r>
          <w:r>
            <w:rPr>
              <w:rFonts w:ascii="仿宋" w:hAnsi="仿宋" w:eastAsia="仿宋"/>
              <w:sz w:val="30"/>
              <w:szCs w:val="30"/>
            </w:rPr>
            <w:fldChar w:fldCharType="end"/>
          </w:r>
          <w:r>
            <w:rPr>
              <w:rFonts w:ascii="仿宋" w:hAnsi="仿宋" w:eastAsia="仿宋"/>
              <w:sz w:val="30"/>
              <w:szCs w:val="30"/>
            </w:rPr>
            <w:fldChar w:fldCharType="end"/>
          </w:r>
        </w:p>
        <w:p w14:paraId="3A0B5541">
          <w:pPr>
            <w:pStyle w:val="16"/>
            <w:jc w:val="right"/>
            <w:rPr>
              <w:rFonts w:cstheme="minorBidi"/>
              <w:sz w:val="30"/>
              <w:szCs w:val="30"/>
            </w:rPr>
          </w:pPr>
          <w:r>
            <w:fldChar w:fldCharType="begin"/>
          </w:r>
          <w:r>
            <w:instrText xml:space="preserve"> HYPERLINK \l "_Toc239752567" </w:instrText>
          </w:r>
          <w:r>
            <w:fldChar w:fldCharType="separate"/>
          </w:r>
          <w:r>
            <w:rPr>
              <w:rStyle w:val="21"/>
              <w:rFonts w:hint="eastAsia" w:cs="方正小标宋简体"/>
              <w:sz w:val="30"/>
              <w:szCs w:val="30"/>
            </w:rPr>
            <w:t>第二部分</w:t>
          </w:r>
          <w:r>
            <w:rPr>
              <w:rStyle w:val="21"/>
              <w:rFonts w:cs="方正小标宋简体"/>
              <w:sz w:val="30"/>
              <w:szCs w:val="30"/>
            </w:rPr>
            <w:t xml:space="preserve">  2025</w:t>
          </w:r>
          <w:r>
            <w:rPr>
              <w:rStyle w:val="21"/>
              <w:rFonts w:hint="eastAsia" w:cs="方正小标宋简体"/>
              <w:sz w:val="30"/>
              <w:szCs w:val="30"/>
            </w:rPr>
            <w:t>年度部门决算情况说明</w:t>
          </w:r>
          <w:r>
            <w:rPr>
              <w:sz w:val="30"/>
              <w:szCs w:val="30"/>
            </w:rPr>
            <w:tab/>
          </w:r>
          <w:r>
            <w:rPr>
              <w:sz w:val="30"/>
              <w:szCs w:val="30"/>
            </w:rPr>
            <w:fldChar w:fldCharType="begin"/>
          </w:r>
          <w:r>
            <w:rPr>
              <w:sz w:val="30"/>
              <w:szCs w:val="30"/>
            </w:rPr>
            <w:instrText xml:space="preserve"> PAGEREF _Toc239752567 \h </w:instrText>
          </w:r>
          <w:r>
            <w:rPr>
              <w:sz w:val="30"/>
              <w:szCs w:val="30"/>
            </w:rPr>
            <w:fldChar w:fldCharType="separate"/>
          </w:r>
          <w:r>
            <w:rPr>
              <w:sz w:val="30"/>
              <w:szCs w:val="30"/>
            </w:rPr>
            <w:t>2</w:t>
          </w:r>
          <w:r>
            <w:rPr>
              <w:sz w:val="30"/>
              <w:szCs w:val="30"/>
            </w:rPr>
            <w:fldChar w:fldCharType="end"/>
          </w:r>
          <w:r>
            <w:rPr>
              <w:sz w:val="30"/>
              <w:szCs w:val="30"/>
            </w:rPr>
            <w:fldChar w:fldCharType="end"/>
          </w:r>
        </w:p>
        <w:p w14:paraId="3B62F174">
          <w:pPr>
            <w:pStyle w:val="17"/>
            <w:jc w:val="right"/>
            <w:rPr>
              <w:rFonts w:ascii="仿宋" w:hAnsi="仿宋" w:eastAsia="仿宋" w:cstheme="minorBidi"/>
              <w:sz w:val="30"/>
              <w:szCs w:val="30"/>
            </w:rPr>
          </w:pPr>
          <w:r>
            <w:fldChar w:fldCharType="begin"/>
          </w:r>
          <w:r>
            <w:instrText xml:space="preserve"> HYPERLINK \l "_Toc239752568" </w:instrText>
          </w:r>
          <w:r>
            <w:fldChar w:fldCharType="separate"/>
          </w:r>
          <w:r>
            <w:rPr>
              <w:rStyle w:val="21"/>
              <w:rFonts w:hint="eastAsia" w:ascii="仿宋" w:hAnsi="仿宋" w:eastAsia="仿宋"/>
              <w:sz w:val="30"/>
              <w:szCs w:val="30"/>
            </w:rPr>
            <w:t>一、收</w:t>
          </w:r>
          <w:r>
            <w:rPr>
              <w:rStyle w:val="21"/>
              <w:rFonts w:hint="eastAsia" w:ascii="仿宋" w:hAnsi="仿宋" w:eastAsia="仿宋" w:cstheme="majorBidi"/>
              <w:bCs/>
              <w:sz w:val="30"/>
              <w:szCs w:val="30"/>
            </w:rPr>
            <w:t>入支出决算总体情况说明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_Toc239752568 \h </w:instrText>
          </w:r>
          <w:r>
            <w:rPr>
              <w:rFonts w:ascii="仿宋" w:hAnsi="仿宋" w:eastAsia="仿宋"/>
              <w:sz w:val="30"/>
              <w:szCs w:val="30"/>
            </w:rPr>
            <w:fldChar w:fldCharType="separate"/>
          </w:r>
          <w:r>
            <w:rPr>
              <w:rFonts w:ascii="仿宋" w:hAnsi="仿宋" w:eastAsia="仿宋"/>
              <w:sz w:val="30"/>
              <w:szCs w:val="30"/>
            </w:rPr>
            <w:t>2</w:t>
          </w:r>
          <w:r>
            <w:rPr>
              <w:rFonts w:ascii="仿宋" w:hAnsi="仿宋" w:eastAsia="仿宋"/>
              <w:sz w:val="30"/>
              <w:szCs w:val="30"/>
            </w:rPr>
            <w:fldChar w:fldCharType="end"/>
          </w:r>
          <w:r>
            <w:rPr>
              <w:rFonts w:ascii="仿宋" w:hAnsi="仿宋" w:eastAsia="仿宋"/>
              <w:sz w:val="30"/>
              <w:szCs w:val="30"/>
            </w:rPr>
            <w:fldChar w:fldCharType="end"/>
          </w:r>
        </w:p>
        <w:p w14:paraId="18FF4E9F">
          <w:pPr>
            <w:pStyle w:val="17"/>
            <w:jc w:val="right"/>
            <w:rPr>
              <w:rFonts w:ascii="仿宋" w:hAnsi="仿宋" w:eastAsia="仿宋" w:cstheme="minorBidi"/>
              <w:sz w:val="30"/>
              <w:szCs w:val="30"/>
            </w:rPr>
          </w:pPr>
          <w:r>
            <w:fldChar w:fldCharType="begin"/>
          </w:r>
          <w:r>
            <w:instrText xml:space="preserve"> HYPERLINK \l "_Toc239752569" </w:instrText>
          </w:r>
          <w:r>
            <w:fldChar w:fldCharType="separate"/>
          </w:r>
          <w:r>
            <w:rPr>
              <w:rStyle w:val="21"/>
              <w:rFonts w:hint="eastAsia" w:ascii="仿宋" w:hAnsi="仿宋" w:eastAsia="仿宋"/>
              <w:sz w:val="30"/>
              <w:szCs w:val="30"/>
            </w:rPr>
            <w:t>二、收入决算情况说明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_Toc239752569 \h </w:instrText>
          </w:r>
          <w:r>
            <w:rPr>
              <w:rFonts w:ascii="仿宋" w:hAnsi="仿宋" w:eastAsia="仿宋"/>
              <w:sz w:val="30"/>
              <w:szCs w:val="30"/>
            </w:rPr>
            <w:fldChar w:fldCharType="separate"/>
          </w:r>
          <w:r>
            <w:rPr>
              <w:rFonts w:ascii="仿宋" w:hAnsi="仿宋" w:eastAsia="仿宋"/>
              <w:sz w:val="30"/>
              <w:szCs w:val="30"/>
            </w:rPr>
            <w:t>2</w:t>
          </w:r>
          <w:r>
            <w:rPr>
              <w:rFonts w:ascii="仿宋" w:hAnsi="仿宋" w:eastAsia="仿宋"/>
              <w:sz w:val="30"/>
              <w:szCs w:val="30"/>
            </w:rPr>
            <w:fldChar w:fldCharType="end"/>
          </w:r>
          <w:r>
            <w:rPr>
              <w:rFonts w:ascii="仿宋" w:hAnsi="仿宋" w:eastAsia="仿宋"/>
              <w:sz w:val="30"/>
              <w:szCs w:val="30"/>
            </w:rPr>
            <w:fldChar w:fldCharType="end"/>
          </w:r>
        </w:p>
        <w:p w14:paraId="26195F9F">
          <w:pPr>
            <w:pStyle w:val="17"/>
            <w:jc w:val="right"/>
            <w:rPr>
              <w:rFonts w:ascii="仿宋" w:hAnsi="仿宋" w:eastAsia="仿宋" w:cstheme="minorBidi"/>
              <w:sz w:val="30"/>
              <w:szCs w:val="30"/>
            </w:rPr>
          </w:pPr>
          <w:r>
            <w:fldChar w:fldCharType="begin"/>
          </w:r>
          <w:r>
            <w:instrText xml:space="preserve"> HYPERLINK \l "_Toc239752570" </w:instrText>
          </w:r>
          <w:r>
            <w:fldChar w:fldCharType="separate"/>
          </w:r>
          <w:r>
            <w:rPr>
              <w:rStyle w:val="21"/>
              <w:rFonts w:hint="eastAsia" w:ascii="仿宋" w:hAnsi="仿宋" w:eastAsia="仿宋"/>
              <w:sz w:val="30"/>
              <w:szCs w:val="30"/>
            </w:rPr>
            <w:t>三、支</w:t>
          </w:r>
          <w:r>
            <w:rPr>
              <w:rStyle w:val="21"/>
              <w:rFonts w:hint="eastAsia" w:ascii="仿宋" w:hAnsi="仿宋" w:eastAsia="仿宋" w:cstheme="majorBidi"/>
              <w:bCs/>
              <w:sz w:val="30"/>
              <w:szCs w:val="30"/>
            </w:rPr>
            <w:t>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_Toc239752570 \h </w:instrText>
          </w:r>
          <w:r>
            <w:rPr>
              <w:rFonts w:ascii="仿宋" w:hAnsi="仿宋" w:eastAsia="仿宋"/>
              <w:sz w:val="30"/>
              <w:szCs w:val="30"/>
            </w:rPr>
            <w:fldChar w:fldCharType="separate"/>
          </w:r>
          <w:r>
            <w:rPr>
              <w:rFonts w:ascii="仿宋" w:hAnsi="仿宋" w:eastAsia="仿宋"/>
              <w:sz w:val="30"/>
              <w:szCs w:val="30"/>
            </w:rPr>
            <w:t>3</w:t>
          </w:r>
          <w:r>
            <w:rPr>
              <w:rFonts w:ascii="仿宋" w:hAnsi="仿宋" w:eastAsia="仿宋"/>
              <w:sz w:val="30"/>
              <w:szCs w:val="30"/>
            </w:rPr>
            <w:fldChar w:fldCharType="end"/>
          </w:r>
          <w:r>
            <w:rPr>
              <w:rFonts w:ascii="仿宋" w:hAnsi="仿宋" w:eastAsia="仿宋"/>
              <w:sz w:val="30"/>
              <w:szCs w:val="30"/>
            </w:rPr>
            <w:fldChar w:fldCharType="end"/>
          </w:r>
        </w:p>
        <w:p w14:paraId="15370712">
          <w:pPr>
            <w:pStyle w:val="17"/>
            <w:jc w:val="right"/>
            <w:rPr>
              <w:rFonts w:ascii="仿宋" w:hAnsi="仿宋" w:eastAsia="仿宋" w:cstheme="minorBidi"/>
              <w:sz w:val="30"/>
              <w:szCs w:val="30"/>
            </w:rPr>
          </w:pPr>
          <w:r>
            <w:fldChar w:fldCharType="begin"/>
          </w:r>
          <w:r>
            <w:instrText xml:space="preserve"> HYPERLINK \l "_Toc239752571" </w:instrText>
          </w:r>
          <w:r>
            <w:fldChar w:fldCharType="separate"/>
          </w:r>
          <w:r>
            <w:rPr>
              <w:rStyle w:val="21"/>
              <w:rFonts w:hint="eastAsia" w:ascii="仿宋" w:hAnsi="仿宋" w:eastAsia="仿宋"/>
              <w:sz w:val="30"/>
              <w:szCs w:val="30"/>
            </w:rPr>
            <w:t>四、财</w:t>
          </w:r>
          <w:r>
            <w:rPr>
              <w:rStyle w:val="21"/>
              <w:rFonts w:hint="eastAsia" w:ascii="仿宋" w:hAnsi="仿宋" w:eastAsia="仿宋" w:cstheme="majorBidi"/>
              <w:bCs/>
              <w:sz w:val="30"/>
              <w:szCs w:val="30"/>
            </w:rPr>
            <w:t>政拨款收入支出决算总体情况说明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_Toc239752571 \h </w:instrText>
          </w:r>
          <w:r>
            <w:rPr>
              <w:rFonts w:ascii="仿宋" w:hAnsi="仿宋" w:eastAsia="仿宋"/>
              <w:sz w:val="30"/>
              <w:szCs w:val="30"/>
            </w:rPr>
            <w:fldChar w:fldCharType="separate"/>
          </w:r>
          <w:r>
            <w:rPr>
              <w:rFonts w:ascii="仿宋" w:hAnsi="仿宋" w:eastAsia="仿宋"/>
              <w:sz w:val="30"/>
              <w:szCs w:val="30"/>
            </w:rPr>
            <w:t>4</w:t>
          </w:r>
          <w:r>
            <w:rPr>
              <w:rFonts w:ascii="仿宋" w:hAnsi="仿宋" w:eastAsia="仿宋"/>
              <w:sz w:val="30"/>
              <w:szCs w:val="30"/>
            </w:rPr>
            <w:fldChar w:fldCharType="end"/>
          </w:r>
          <w:r>
            <w:rPr>
              <w:rFonts w:ascii="仿宋" w:hAnsi="仿宋" w:eastAsia="仿宋"/>
              <w:sz w:val="30"/>
              <w:szCs w:val="30"/>
            </w:rPr>
            <w:fldChar w:fldCharType="end"/>
          </w:r>
        </w:p>
        <w:p w14:paraId="721EB9CC">
          <w:pPr>
            <w:pStyle w:val="17"/>
            <w:jc w:val="right"/>
            <w:rPr>
              <w:rFonts w:ascii="仿宋" w:hAnsi="仿宋" w:eastAsia="仿宋" w:cstheme="minorBidi"/>
              <w:sz w:val="30"/>
              <w:szCs w:val="30"/>
            </w:rPr>
          </w:pPr>
          <w:r>
            <w:fldChar w:fldCharType="begin"/>
          </w:r>
          <w:r>
            <w:instrText xml:space="preserve"> HYPERLINK \l "_Toc239752572" </w:instrText>
          </w:r>
          <w:r>
            <w:fldChar w:fldCharType="separate"/>
          </w:r>
          <w:r>
            <w:rPr>
              <w:rStyle w:val="21"/>
              <w:rFonts w:hint="eastAsia" w:ascii="仿宋" w:hAnsi="仿宋" w:eastAsia="仿宋"/>
              <w:sz w:val="30"/>
              <w:szCs w:val="30"/>
            </w:rPr>
            <w:t>五、一</w:t>
          </w:r>
          <w:r>
            <w:rPr>
              <w:rStyle w:val="21"/>
              <w:rFonts w:hint="eastAsia" w:ascii="仿宋" w:hAnsi="仿宋" w:eastAsia="仿宋" w:cstheme="majorBidi"/>
              <w:bCs/>
              <w:sz w:val="30"/>
              <w:szCs w:val="30"/>
            </w:rPr>
            <w:t>般公共预算财政拨款支出决算情况说明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_Toc239752572 \h </w:instrText>
          </w:r>
          <w:r>
            <w:rPr>
              <w:rFonts w:ascii="仿宋" w:hAnsi="仿宋" w:eastAsia="仿宋"/>
              <w:sz w:val="30"/>
              <w:szCs w:val="30"/>
            </w:rPr>
            <w:fldChar w:fldCharType="separate"/>
          </w:r>
          <w:r>
            <w:rPr>
              <w:rFonts w:ascii="仿宋" w:hAnsi="仿宋" w:eastAsia="仿宋"/>
              <w:sz w:val="30"/>
              <w:szCs w:val="30"/>
            </w:rPr>
            <w:t>5</w:t>
          </w:r>
          <w:r>
            <w:rPr>
              <w:rFonts w:ascii="仿宋" w:hAnsi="仿宋" w:eastAsia="仿宋"/>
              <w:sz w:val="30"/>
              <w:szCs w:val="30"/>
            </w:rPr>
            <w:fldChar w:fldCharType="end"/>
          </w:r>
          <w:r>
            <w:rPr>
              <w:rFonts w:ascii="仿宋" w:hAnsi="仿宋" w:eastAsia="仿宋"/>
              <w:sz w:val="30"/>
              <w:szCs w:val="30"/>
            </w:rPr>
            <w:fldChar w:fldCharType="end"/>
          </w:r>
        </w:p>
        <w:p w14:paraId="2AA172E8">
          <w:pPr>
            <w:pStyle w:val="11"/>
            <w:jc w:val="right"/>
            <w:rPr>
              <w:rFonts w:ascii="仿宋" w:hAnsi="仿宋" w:eastAsia="仿宋" w:cstheme="minorBidi"/>
              <w:sz w:val="30"/>
              <w:szCs w:val="30"/>
            </w:rPr>
          </w:pPr>
          <w:r>
            <w:fldChar w:fldCharType="begin"/>
          </w:r>
          <w:r>
            <w:instrText xml:space="preserve"> HYPERLINK \l "_Toc239752573" </w:instrText>
          </w:r>
          <w:r>
            <w:fldChar w:fldCharType="separate"/>
          </w:r>
          <w:r>
            <w:rPr>
              <w:rStyle w:val="21"/>
              <w:rFonts w:hint="eastAsia" w:ascii="仿宋" w:hAnsi="仿宋" w:eastAsia="仿宋" w:cs="楷体_GB2312"/>
              <w:sz w:val="30"/>
              <w:szCs w:val="30"/>
            </w:rPr>
            <w:t>（一）一般公共预算财政拨款支出决算总体情况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_Toc239752573 \h </w:instrText>
          </w:r>
          <w:r>
            <w:rPr>
              <w:rFonts w:ascii="仿宋" w:hAnsi="仿宋" w:eastAsia="仿宋"/>
              <w:sz w:val="30"/>
              <w:szCs w:val="30"/>
            </w:rPr>
            <w:fldChar w:fldCharType="separate"/>
          </w:r>
          <w:r>
            <w:rPr>
              <w:rFonts w:ascii="仿宋" w:hAnsi="仿宋" w:eastAsia="仿宋"/>
              <w:sz w:val="30"/>
              <w:szCs w:val="30"/>
            </w:rPr>
            <w:t>5</w:t>
          </w:r>
          <w:r>
            <w:rPr>
              <w:rFonts w:ascii="仿宋" w:hAnsi="仿宋" w:eastAsia="仿宋"/>
              <w:sz w:val="30"/>
              <w:szCs w:val="30"/>
            </w:rPr>
            <w:fldChar w:fldCharType="end"/>
          </w:r>
          <w:r>
            <w:rPr>
              <w:rFonts w:ascii="仿宋" w:hAnsi="仿宋" w:eastAsia="仿宋"/>
              <w:sz w:val="30"/>
              <w:szCs w:val="30"/>
            </w:rPr>
            <w:fldChar w:fldCharType="end"/>
          </w:r>
        </w:p>
        <w:p w14:paraId="1128A1D5">
          <w:pPr>
            <w:pStyle w:val="11"/>
            <w:jc w:val="right"/>
            <w:rPr>
              <w:rFonts w:ascii="仿宋" w:hAnsi="仿宋" w:eastAsia="仿宋" w:cstheme="minorBidi"/>
              <w:sz w:val="30"/>
              <w:szCs w:val="30"/>
            </w:rPr>
          </w:pPr>
          <w:r>
            <w:fldChar w:fldCharType="begin"/>
          </w:r>
          <w:r>
            <w:instrText xml:space="preserve"> HYPERLINK \l "_Toc239752574" </w:instrText>
          </w:r>
          <w:r>
            <w:fldChar w:fldCharType="separate"/>
          </w:r>
          <w:r>
            <w:rPr>
              <w:rStyle w:val="21"/>
              <w:rFonts w:hint="eastAsia" w:ascii="仿宋" w:hAnsi="仿宋" w:eastAsia="仿宋" w:cs="楷体_GB2312"/>
              <w:sz w:val="30"/>
              <w:szCs w:val="30"/>
            </w:rPr>
            <w:t>（二）一般公共预算财政拨款支出决算结构情况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_Toc239752574 \h </w:instrText>
          </w:r>
          <w:r>
            <w:rPr>
              <w:rFonts w:ascii="仿宋" w:hAnsi="仿宋" w:eastAsia="仿宋"/>
              <w:sz w:val="30"/>
              <w:szCs w:val="30"/>
            </w:rPr>
            <w:fldChar w:fldCharType="separate"/>
          </w:r>
          <w:r>
            <w:rPr>
              <w:rFonts w:ascii="仿宋" w:hAnsi="仿宋" w:eastAsia="仿宋"/>
              <w:sz w:val="30"/>
              <w:szCs w:val="30"/>
            </w:rPr>
            <w:t>6</w:t>
          </w:r>
          <w:r>
            <w:rPr>
              <w:rFonts w:ascii="仿宋" w:hAnsi="仿宋" w:eastAsia="仿宋"/>
              <w:sz w:val="30"/>
              <w:szCs w:val="30"/>
            </w:rPr>
            <w:fldChar w:fldCharType="end"/>
          </w:r>
          <w:r>
            <w:rPr>
              <w:rFonts w:ascii="仿宋" w:hAnsi="仿宋" w:eastAsia="仿宋"/>
              <w:sz w:val="30"/>
              <w:szCs w:val="30"/>
            </w:rPr>
            <w:fldChar w:fldCharType="end"/>
          </w:r>
        </w:p>
        <w:p w14:paraId="23A402F7">
          <w:pPr>
            <w:pStyle w:val="11"/>
            <w:jc w:val="right"/>
            <w:rPr>
              <w:rFonts w:ascii="仿宋" w:hAnsi="仿宋" w:eastAsia="仿宋" w:cstheme="minorBidi"/>
              <w:sz w:val="30"/>
              <w:szCs w:val="30"/>
            </w:rPr>
          </w:pPr>
          <w:r>
            <w:fldChar w:fldCharType="begin"/>
          </w:r>
          <w:r>
            <w:instrText xml:space="preserve"> HYPERLINK \l "_Toc239752575" </w:instrText>
          </w:r>
          <w:r>
            <w:fldChar w:fldCharType="separate"/>
          </w:r>
          <w:r>
            <w:rPr>
              <w:rStyle w:val="21"/>
              <w:rFonts w:hint="eastAsia" w:ascii="仿宋" w:hAnsi="仿宋" w:eastAsia="仿宋" w:cs="楷体_GB2312"/>
              <w:sz w:val="30"/>
              <w:szCs w:val="30"/>
            </w:rPr>
            <w:t>（三）一般公共预算财政拨款支出决算具体情况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_Toc239752575 \h </w:instrText>
          </w:r>
          <w:r>
            <w:rPr>
              <w:rFonts w:ascii="仿宋" w:hAnsi="仿宋" w:eastAsia="仿宋"/>
              <w:sz w:val="30"/>
              <w:szCs w:val="30"/>
            </w:rPr>
            <w:fldChar w:fldCharType="separate"/>
          </w:r>
          <w:r>
            <w:rPr>
              <w:rFonts w:ascii="仿宋" w:hAnsi="仿宋" w:eastAsia="仿宋"/>
              <w:sz w:val="30"/>
              <w:szCs w:val="30"/>
            </w:rPr>
            <w:t>7</w:t>
          </w:r>
          <w:r>
            <w:rPr>
              <w:rFonts w:ascii="仿宋" w:hAnsi="仿宋" w:eastAsia="仿宋"/>
              <w:sz w:val="30"/>
              <w:szCs w:val="30"/>
            </w:rPr>
            <w:fldChar w:fldCharType="end"/>
          </w:r>
          <w:r>
            <w:rPr>
              <w:rFonts w:ascii="仿宋" w:hAnsi="仿宋" w:eastAsia="仿宋"/>
              <w:sz w:val="30"/>
              <w:szCs w:val="30"/>
            </w:rPr>
            <w:fldChar w:fldCharType="end"/>
          </w:r>
        </w:p>
        <w:p w14:paraId="7F15972B">
          <w:pPr>
            <w:pStyle w:val="17"/>
            <w:jc w:val="right"/>
            <w:rPr>
              <w:rFonts w:ascii="仿宋" w:hAnsi="仿宋" w:eastAsia="仿宋" w:cstheme="minorBidi"/>
              <w:sz w:val="30"/>
              <w:szCs w:val="30"/>
            </w:rPr>
          </w:pPr>
          <w:r>
            <w:fldChar w:fldCharType="begin"/>
          </w:r>
          <w:r>
            <w:instrText xml:space="preserve"> HYPERLINK \l "_Toc239752576" </w:instrText>
          </w:r>
          <w:r>
            <w:fldChar w:fldCharType="separate"/>
          </w:r>
          <w:r>
            <w:rPr>
              <w:rStyle w:val="21"/>
              <w:rFonts w:hint="eastAsia" w:ascii="仿宋" w:hAnsi="仿宋" w:eastAsia="仿宋"/>
              <w:sz w:val="30"/>
              <w:szCs w:val="30"/>
            </w:rPr>
            <w:t>六、一</w:t>
          </w:r>
          <w:r>
            <w:rPr>
              <w:rStyle w:val="21"/>
              <w:rFonts w:hint="eastAsia" w:ascii="仿宋" w:hAnsi="仿宋" w:eastAsia="仿宋" w:cstheme="majorBidi"/>
              <w:bCs/>
              <w:sz w:val="30"/>
              <w:szCs w:val="30"/>
            </w:rPr>
            <w:t>般公共预算财政拨款基本支出决算情况说明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_Toc239752576 \h </w:instrText>
          </w:r>
          <w:r>
            <w:rPr>
              <w:rFonts w:ascii="仿宋" w:hAnsi="仿宋" w:eastAsia="仿宋"/>
              <w:sz w:val="30"/>
              <w:szCs w:val="30"/>
            </w:rPr>
            <w:fldChar w:fldCharType="separate"/>
          </w:r>
          <w:r>
            <w:rPr>
              <w:rFonts w:ascii="仿宋" w:hAnsi="仿宋" w:eastAsia="仿宋"/>
              <w:sz w:val="30"/>
              <w:szCs w:val="30"/>
            </w:rPr>
            <w:t>9</w:t>
          </w:r>
          <w:r>
            <w:rPr>
              <w:rFonts w:ascii="仿宋" w:hAnsi="仿宋" w:eastAsia="仿宋"/>
              <w:sz w:val="30"/>
              <w:szCs w:val="30"/>
            </w:rPr>
            <w:fldChar w:fldCharType="end"/>
          </w:r>
          <w:r>
            <w:rPr>
              <w:rFonts w:ascii="仿宋" w:hAnsi="仿宋" w:eastAsia="仿宋"/>
              <w:sz w:val="30"/>
              <w:szCs w:val="30"/>
            </w:rPr>
            <w:fldChar w:fldCharType="end"/>
          </w:r>
        </w:p>
        <w:p w14:paraId="3403ED84">
          <w:pPr>
            <w:pStyle w:val="17"/>
            <w:jc w:val="right"/>
            <w:rPr>
              <w:rFonts w:ascii="仿宋" w:hAnsi="仿宋" w:eastAsia="仿宋" w:cstheme="minorBidi"/>
              <w:sz w:val="30"/>
              <w:szCs w:val="30"/>
            </w:rPr>
          </w:pPr>
          <w:r>
            <w:fldChar w:fldCharType="begin"/>
          </w:r>
          <w:r>
            <w:instrText xml:space="preserve"> HYPERLINK \l "_Toc239752577" </w:instrText>
          </w:r>
          <w:r>
            <w:fldChar w:fldCharType="separate"/>
          </w:r>
          <w:r>
            <w:rPr>
              <w:rStyle w:val="21"/>
              <w:rFonts w:hint="eastAsia" w:ascii="仿宋" w:hAnsi="仿宋" w:eastAsia="仿宋"/>
              <w:sz w:val="30"/>
              <w:szCs w:val="30"/>
            </w:rPr>
            <w:t>七、</w:t>
          </w:r>
          <w:r>
            <w:rPr>
              <w:rStyle w:val="21"/>
              <w:rFonts w:hint="eastAsia" w:ascii="仿宋" w:hAnsi="仿宋" w:eastAsia="仿宋" w:cstheme="majorBidi"/>
              <w:bCs/>
              <w:sz w:val="30"/>
              <w:szCs w:val="30"/>
            </w:rPr>
            <w:t>财政拨款</w:t>
          </w:r>
          <w:r>
            <w:rPr>
              <w:rStyle w:val="21"/>
              <w:rFonts w:ascii="仿宋" w:hAnsi="仿宋" w:eastAsia="仿宋" w:cstheme="majorBidi"/>
              <w:bCs/>
              <w:sz w:val="30"/>
              <w:szCs w:val="30"/>
            </w:rPr>
            <w:t>“</w:t>
          </w:r>
          <w:r>
            <w:rPr>
              <w:rStyle w:val="21"/>
              <w:rFonts w:hint="eastAsia" w:ascii="仿宋" w:hAnsi="仿宋" w:eastAsia="仿宋" w:cstheme="majorBidi"/>
              <w:bCs/>
              <w:sz w:val="30"/>
              <w:szCs w:val="30"/>
            </w:rPr>
            <w:t>三公”经费支出决算情况说明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_Toc239752577 \h </w:instrText>
          </w:r>
          <w:r>
            <w:rPr>
              <w:rFonts w:ascii="仿宋" w:hAnsi="仿宋" w:eastAsia="仿宋"/>
              <w:sz w:val="30"/>
              <w:szCs w:val="30"/>
            </w:rPr>
            <w:fldChar w:fldCharType="separate"/>
          </w:r>
          <w:r>
            <w:rPr>
              <w:rFonts w:ascii="仿宋" w:hAnsi="仿宋" w:eastAsia="仿宋"/>
              <w:sz w:val="30"/>
              <w:szCs w:val="30"/>
            </w:rPr>
            <w:t>10</w:t>
          </w:r>
          <w:r>
            <w:rPr>
              <w:rFonts w:ascii="仿宋" w:hAnsi="仿宋" w:eastAsia="仿宋"/>
              <w:sz w:val="30"/>
              <w:szCs w:val="30"/>
            </w:rPr>
            <w:fldChar w:fldCharType="end"/>
          </w:r>
          <w:r>
            <w:rPr>
              <w:rFonts w:ascii="仿宋" w:hAnsi="仿宋" w:eastAsia="仿宋"/>
              <w:sz w:val="30"/>
              <w:szCs w:val="30"/>
            </w:rPr>
            <w:fldChar w:fldCharType="end"/>
          </w:r>
        </w:p>
        <w:p w14:paraId="3A012CBC">
          <w:pPr>
            <w:pStyle w:val="11"/>
            <w:jc w:val="right"/>
            <w:rPr>
              <w:rFonts w:ascii="仿宋" w:hAnsi="仿宋" w:eastAsia="仿宋" w:cstheme="minorBidi"/>
              <w:sz w:val="30"/>
              <w:szCs w:val="30"/>
            </w:rPr>
          </w:pPr>
          <w:r>
            <w:fldChar w:fldCharType="begin"/>
          </w:r>
          <w:r>
            <w:instrText xml:space="preserve"> HYPERLINK \l "_Toc239752578" </w:instrText>
          </w:r>
          <w:r>
            <w:fldChar w:fldCharType="separate"/>
          </w:r>
          <w:r>
            <w:rPr>
              <w:rStyle w:val="21"/>
              <w:rFonts w:hint="eastAsia" w:ascii="仿宋" w:hAnsi="仿宋" w:eastAsia="仿宋" w:cs="楷体_GB2312"/>
              <w:sz w:val="30"/>
              <w:szCs w:val="30"/>
            </w:rPr>
            <w:t>（一）财政拨款“三公”经费支出决算总体情况说明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_Toc239752578 \h </w:instrText>
          </w:r>
          <w:r>
            <w:rPr>
              <w:rFonts w:ascii="仿宋" w:hAnsi="仿宋" w:eastAsia="仿宋"/>
              <w:sz w:val="30"/>
              <w:szCs w:val="30"/>
            </w:rPr>
            <w:fldChar w:fldCharType="separate"/>
          </w:r>
          <w:r>
            <w:rPr>
              <w:rFonts w:ascii="仿宋" w:hAnsi="仿宋" w:eastAsia="仿宋"/>
              <w:sz w:val="30"/>
              <w:szCs w:val="30"/>
            </w:rPr>
            <w:t>10</w:t>
          </w:r>
          <w:r>
            <w:rPr>
              <w:rFonts w:ascii="仿宋" w:hAnsi="仿宋" w:eastAsia="仿宋"/>
              <w:sz w:val="30"/>
              <w:szCs w:val="30"/>
            </w:rPr>
            <w:fldChar w:fldCharType="end"/>
          </w:r>
          <w:r>
            <w:rPr>
              <w:rFonts w:ascii="仿宋" w:hAnsi="仿宋" w:eastAsia="仿宋"/>
              <w:sz w:val="30"/>
              <w:szCs w:val="30"/>
            </w:rPr>
            <w:fldChar w:fldCharType="end"/>
          </w:r>
        </w:p>
        <w:p w14:paraId="6CE08D79">
          <w:pPr>
            <w:pStyle w:val="11"/>
            <w:jc w:val="right"/>
            <w:rPr>
              <w:rFonts w:ascii="仿宋" w:hAnsi="仿宋" w:eastAsia="仿宋" w:cstheme="minorBidi"/>
              <w:sz w:val="30"/>
              <w:szCs w:val="30"/>
            </w:rPr>
          </w:pPr>
          <w:r>
            <w:fldChar w:fldCharType="begin"/>
          </w:r>
          <w:r>
            <w:instrText xml:space="preserve"> HYPERLINK \l "_Toc239752579" </w:instrText>
          </w:r>
          <w:r>
            <w:fldChar w:fldCharType="separate"/>
          </w:r>
          <w:r>
            <w:rPr>
              <w:rStyle w:val="21"/>
              <w:rFonts w:hint="eastAsia" w:ascii="仿宋" w:hAnsi="仿宋" w:eastAsia="仿宋" w:cs="楷体_GB2312"/>
              <w:sz w:val="30"/>
              <w:szCs w:val="30"/>
            </w:rPr>
            <w:t>（二）财政拨款“三公”经费支出决算具体情况说明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_Toc239752579 \h </w:instrText>
          </w:r>
          <w:r>
            <w:rPr>
              <w:rFonts w:ascii="仿宋" w:hAnsi="仿宋" w:eastAsia="仿宋"/>
              <w:sz w:val="30"/>
              <w:szCs w:val="30"/>
            </w:rPr>
            <w:fldChar w:fldCharType="separate"/>
          </w:r>
          <w:r>
            <w:rPr>
              <w:rFonts w:ascii="仿宋" w:hAnsi="仿宋" w:eastAsia="仿宋"/>
              <w:sz w:val="30"/>
              <w:szCs w:val="30"/>
            </w:rPr>
            <w:t>10</w:t>
          </w:r>
          <w:r>
            <w:rPr>
              <w:rFonts w:ascii="仿宋" w:hAnsi="仿宋" w:eastAsia="仿宋"/>
              <w:sz w:val="30"/>
              <w:szCs w:val="30"/>
            </w:rPr>
            <w:fldChar w:fldCharType="end"/>
          </w:r>
          <w:r>
            <w:rPr>
              <w:rFonts w:ascii="仿宋" w:hAnsi="仿宋" w:eastAsia="仿宋"/>
              <w:sz w:val="30"/>
              <w:szCs w:val="30"/>
            </w:rPr>
            <w:fldChar w:fldCharType="end"/>
          </w:r>
        </w:p>
        <w:p w14:paraId="289BD889">
          <w:pPr>
            <w:pStyle w:val="17"/>
            <w:jc w:val="right"/>
            <w:rPr>
              <w:rFonts w:ascii="仿宋" w:hAnsi="仿宋" w:eastAsia="仿宋" w:cstheme="minorBidi"/>
              <w:sz w:val="30"/>
              <w:szCs w:val="30"/>
            </w:rPr>
          </w:pPr>
          <w:r>
            <w:fldChar w:fldCharType="begin"/>
          </w:r>
          <w:r>
            <w:instrText xml:space="preserve"> HYPERLINK \l "_Toc239752580" </w:instrText>
          </w:r>
          <w:r>
            <w:fldChar w:fldCharType="separate"/>
          </w:r>
          <w:r>
            <w:rPr>
              <w:rStyle w:val="21"/>
              <w:rFonts w:hint="eastAsia" w:ascii="仿宋" w:hAnsi="仿宋" w:eastAsia="仿宋"/>
              <w:sz w:val="30"/>
              <w:szCs w:val="30"/>
            </w:rPr>
            <w:t>八、</w:t>
          </w:r>
          <w:r>
            <w:rPr>
              <w:rStyle w:val="21"/>
              <w:rFonts w:hint="eastAsia" w:ascii="仿宋" w:hAnsi="仿宋" w:eastAsia="仿宋" w:cstheme="majorBidi"/>
              <w:bCs/>
              <w:sz w:val="30"/>
              <w:szCs w:val="30"/>
            </w:rPr>
            <w:t>政府性基金预算支出决算情况说明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_Toc239752580 \h </w:instrText>
          </w:r>
          <w:r>
            <w:rPr>
              <w:rFonts w:ascii="仿宋" w:hAnsi="仿宋" w:eastAsia="仿宋"/>
              <w:sz w:val="30"/>
              <w:szCs w:val="30"/>
            </w:rPr>
            <w:fldChar w:fldCharType="separate"/>
          </w:r>
          <w:r>
            <w:rPr>
              <w:rFonts w:ascii="仿宋" w:hAnsi="仿宋" w:eastAsia="仿宋"/>
              <w:sz w:val="30"/>
              <w:szCs w:val="30"/>
            </w:rPr>
            <w:t>14</w:t>
          </w:r>
          <w:r>
            <w:rPr>
              <w:rFonts w:ascii="仿宋" w:hAnsi="仿宋" w:eastAsia="仿宋"/>
              <w:sz w:val="30"/>
              <w:szCs w:val="30"/>
            </w:rPr>
            <w:fldChar w:fldCharType="end"/>
          </w:r>
          <w:r>
            <w:rPr>
              <w:rFonts w:ascii="仿宋" w:hAnsi="仿宋" w:eastAsia="仿宋"/>
              <w:sz w:val="30"/>
              <w:szCs w:val="30"/>
            </w:rPr>
            <w:fldChar w:fldCharType="end"/>
          </w:r>
        </w:p>
        <w:p w14:paraId="571BD097">
          <w:pPr>
            <w:pStyle w:val="17"/>
            <w:jc w:val="right"/>
            <w:rPr>
              <w:rFonts w:ascii="仿宋" w:hAnsi="仿宋" w:eastAsia="仿宋" w:cstheme="minorBidi"/>
              <w:sz w:val="30"/>
              <w:szCs w:val="30"/>
            </w:rPr>
          </w:pPr>
          <w:r>
            <w:fldChar w:fldCharType="begin"/>
          </w:r>
          <w:r>
            <w:instrText xml:space="preserve"> HYPERLINK \l "_Toc239752581" </w:instrText>
          </w:r>
          <w:r>
            <w:fldChar w:fldCharType="separate"/>
          </w:r>
          <w:r>
            <w:rPr>
              <w:rStyle w:val="21"/>
              <w:rFonts w:hint="eastAsia" w:ascii="仿宋" w:hAnsi="仿宋" w:eastAsia="仿宋" w:cstheme="majorBidi"/>
              <w:bCs/>
              <w:sz w:val="30"/>
              <w:szCs w:val="30"/>
            </w:rPr>
            <w:t>九、国有资本经营预算支出决算情况说明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_Toc239752581 \h </w:instrText>
          </w:r>
          <w:r>
            <w:rPr>
              <w:rFonts w:ascii="仿宋" w:hAnsi="仿宋" w:eastAsia="仿宋"/>
              <w:sz w:val="30"/>
              <w:szCs w:val="30"/>
            </w:rPr>
            <w:fldChar w:fldCharType="separate"/>
          </w:r>
          <w:r>
            <w:rPr>
              <w:rFonts w:ascii="仿宋" w:hAnsi="仿宋" w:eastAsia="仿宋"/>
              <w:sz w:val="30"/>
              <w:szCs w:val="30"/>
            </w:rPr>
            <w:t>15</w:t>
          </w:r>
          <w:r>
            <w:rPr>
              <w:rFonts w:ascii="仿宋" w:hAnsi="仿宋" w:eastAsia="仿宋"/>
              <w:sz w:val="30"/>
              <w:szCs w:val="30"/>
            </w:rPr>
            <w:fldChar w:fldCharType="end"/>
          </w:r>
          <w:r>
            <w:rPr>
              <w:rFonts w:ascii="仿宋" w:hAnsi="仿宋" w:eastAsia="仿宋"/>
              <w:sz w:val="30"/>
              <w:szCs w:val="30"/>
            </w:rPr>
            <w:fldChar w:fldCharType="end"/>
          </w:r>
        </w:p>
        <w:p w14:paraId="741F64EA">
          <w:pPr>
            <w:pStyle w:val="17"/>
            <w:jc w:val="right"/>
            <w:rPr>
              <w:rFonts w:ascii="仿宋" w:hAnsi="仿宋" w:eastAsia="仿宋" w:cstheme="minorBidi"/>
              <w:sz w:val="30"/>
              <w:szCs w:val="30"/>
            </w:rPr>
          </w:pPr>
          <w:r>
            <w:fldChar w:fldCharType="begin"/>
          </w:r>
          <w:r>
            <w:instrText xml:space="preserve"> HYPERLINK \l "_Toc239752582" </w:instrText>
          </w:r>
          <w:r>
            <w:fldChar w:fldCharType="separate"/>
          </w:r>
          <w:r>
            <w:rPr>
              <w:rStyle w:val="21"/>
              <w:rFonts w:hint="eastAsia" w:ascii="仿宋" w:hAnsi="仿宋" w:eastAsia="仿宋" w:cstheme="majorBidi"/>
              <w:bCs/>
              <w:sz w:val="30"/>
              <w:szCs w:val="30"/>
            </w:rPr>
            <w:t>十、其他重要事项的情况说明</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_Toc239752582 \h </w:instrText>
          </w:r>
          <w:r>
            <w:rPr>
              <w:rFonts w:ascii="仿宋" w:hAnsi="仿宋" w:eastAsia="仿宋"/>
              <w:sz w:val="30"/>
              <w:szCs w:val="30"/>
            </w:rPr>
            <w:fldChar w:fldCharType="separate"/>
          </w:r>
          <w:r>
            <w:rPr>
              <w:rFonts w:ascii="仿宋" w:hAnsi="仿宋" w:eastAsia="仿宋"/>
              <w:sz w:val="30"/>
              <w:szCs w:val="30"/>
            </w:rPr>
            <w:t>15</w:t>
          </w:r>
          <w:r>
            <w:rPr>
              <w:rFonts w:ascii="仿宋" w:hAnsi="仿宋" w:eastAsia="仿宋"/>
              <w:sz w:val="30"/>
              <w:szCs w:val="30"/>
            </w:rPr>
            <w:fldChar w:fldCharType="end"/>
          </w:r>
          <w:r>
            <w:rPr>
              <w:rFonts w:ascii="仿宋" w:hAnsi="仿宋" w:eastAsia="仿宋"/>
              <w:sz w:val="30"/>
              <w:szCs w:val="30"/>
            </w:rPr>
            <w:fldChar w:fldCharType="end"/>
          </w:r>
        </w:p>
        <w:p w14:paraId="756C86FA">
          <w:pPr>
            <w:pStyle w:val="11"/>
            <w:jc w:val="right"/>
            <w:rPr>
              <w:rFonts w:ascii="仿宋" w:hAnsi="仿宋" w:eastAsia="仿宋" w:cstheme="minorBidi"/>
              <w:sz w:val="30"/>
              <w:szCs w:val="30"/>
            </w:rPr>
          </w:pPr>
          <w:r>
            <w:fldChar w:fldCharType="begin"/>
          </w:r>
          <w:r>
            <w:instrText xml:space="preserve"> HYPERLINK \l "_Toc239752583" </w:instrText>
          </w:r>
          <w:r>
            <w:fldChar w:fldCharType="separate"/>
          </w:r>
          <w:r>
            <w:rPr>
              <w:rStyle w:val="21"/>
              <w:rFonts w:hint="eastAsia" w:ascii="仿宋" w:hAnsi="仿宋" w:eastAsia="仿宋" w:cs="楷体_GB2312"/>
              <w:sz w:val="30"/>
              <w:szCs w:val="30"/>
            </w:rPr>
            <w:t>（一）机关运行经费支出情况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_Toc239752583 \h </w:instrText>
          </w:r>
          <w:r>
            <w:rPr>
              <w:rFonts w:ascii="仿宋" w:hAnsi="仿宋" w:eastAsia="仿宋"/>
              <w:sz w:val="30"/>
              <w:szCs w:val="30"/>
            </w:rPr>
            <w:fldChar w:fldCharType="separate"/>
          </w:r>
          <w:r>
            <w:rPr>
              <w:rFonts w:ascii="仿宋" w:hAnsi="仿宋" w:eastAsia="仿宋"/>
              <w:sz w:val="30"/>
              <w:szCs w:val="30"/>
            </w:rPr>
            <w:t>15</w:t>
          </w:r>
          <w:r>
            <w:rPr>
              <w:rFonts w:ascii="仿宋" w:hAnsi="仿宋" w:eastAsia="仿宋"/>
              <w:sz w:val="30"/>
              <w:szCs w:val="30"/>
            </w:rPr>
            <w:fldChar w:fldCharType="end"/>
          </w:r>
          <w:r>
            <w:rPr>
              <w:rFonts w:ascii="仿宋" w:hAnsi="仿宋" w:eastAsia="仿宋"/>
              <w:sz w:val="30"/>
              <w:szCs w:val="30"/>
            </w:rPr>
            <w:fldChar w:fldCharType="end"/>
          </w:r>
        </w:p>
        <w:p w14:paraId="255BA477">
          <w:pPr>
            <w:pStyle w:val="11"/>
            <w:jc w:val="right"/>
            <w:rPr>
              <w:rFonts w:ascii="仿宋" w:hAnsi="仿宋" w:eastAsia="仿宋" w:cstheme="minorBidi"/>
              <w:sz w:val="30"/>
              <w:szCs w:val="30"/>
            </w:rPr>
          </w:pPr>
          <w:r>
            <w:fldChar w:fldCharType="begin"/>
          </w:r>
          <w:r>
            <w:instrText xml:space="preserve"> HYPERLINK \l "_Toc239752584" </w:instrText>
          </w:r>
          <w:r>
            <w:fldChar w:fldCharType="separate"/>
          </w:r>
          <w:r>
            <w:rPr>
              <w:rStyle w:val="21"/>
              <w:rFonts w:hint="eastAsia" w:ascii="仿宋" w:hAnsi="仿宋" w:eastAsia="仿宋" w:cs="楷体_GB2312"/>
              <w:sz w:val="30"/>
              <w:szCs w:val="30"/>
            </w:rPr>
            <w:t>（二）政府采购支出情况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_Toc239752584 \h </w:instrText>
          </w:r>
          <w:r>
            <w:rPr>
              <w:rFonts w:ascii="仿宋" w:hAnsi="仿宋" w:eastAsia="仿宋"/>
              <w:sz w:val="30"/>
              <w:szCs w:val="30"/>
            </w:rPr>
            <w:fldChar w:fldCharType="separate"/>
          </w:r>
          <w:r>
            <w:rPr>
              <w:rFonts w:ascii="仿宋" w:hAnsi="仿宋" w:eastAsia="仿宋"/>
              <w:sz w:val="30"/>
              <w:szCs w:val="30"/>
            </w:rPr>
            <w:t>15</w:t>
          </w:r>
          <w:r>
            <w:rPr>
              <w:rFonts w:ascii="仿宋" w:hAnsi="仿宋" w:eastAsia="仿宋"/>
              <w:sz w:val="30"/>
              <w:szCs w:val="30"/>
            </w:rPr>
            <w:fldChar w:fldCharType="end"/>
          </w:r>
          <w:r>
            <w:rPr>
              <w:rFonts w:ascii="仿宋" w:hAnsi="仿宋" w:eastAsia="仿宋"/>
              <w:sz w:val="30"/>
              <w:szCs w:val="30"/>
            </w:rPr>
            <w:fldChar w:fldCharType="end"/>
          </w:r>
        </w:p>
        <w:p w14:paraId="6AF80246">
          <w:pPr>
            <w:pStyle w:val="11"/>
            <w:jc w:val="right"/>
            <w:rPr>
              <w:rFonts w:ascii="仿宋" w:hAnsi="仿宋" w:eastAsia="仿宋" w:cstheme="minorBidi"/>
              <w:sz w:val="30"/>
              <w:szCs w:val="30"/>
            </w:rPr>
          </w:pPr>
          <w:r>
            <w:fldChar w:fldCharType="begin"/>
          </w:r>
          <w:r>
            <w:instrText xml:space="preserve"> HYPERLINK \l "_Toc239752585" </w:instrText>
          </w:r>
          <w:r>
            <w:fldChar w:fldCharType="separate"/>
          </w:r>
          <w:r>
            <w:rPr>
              <w:rStyle w:val="21"/>
              <w:rFonts w:hint="eastAsia" w:ascii="仿宋" w:hAnsi="仿宋" w:eastAsia="仿宋" w:cs="楷体_GB2312"/>
              <w:sz w:val="30"/>
              <w:szCs w:val="30"/>
            </w:rPr>
            <w:t>（三）国有资产占有使用情况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_Toc239752585 \h </w:instrText>
          </w:r>
          <w:r>
            <w:rPr>
              <w:rFonts w:ascii="仿宋" w:hAnsi="仿宋" w:eastAsia="仿宋"/>
              <w:sz w:val="30"/>
              <w:szCs w:val="30"/>
            </w:rPr>
            <w:fldChar w:fldCharType="separate"/>
          </w:r>
          <w:r>
            <w:rPr>
              <w:rFonts w:ascii="仿宋" w:hAnsi="仿宋" w:eastAsia="仿宋"/>
              <w:sz w:val="30"/>
              <w:szCs w:val="30"/>
            </w:rPr>
            <w:t>15</w:t>
          </w:r>
          <w:r>
            <w:rPr>
              <w:rFonts w:ascii="仿宋" w:hAnsi="仿宋" w:eastAsia="仿宋"/>
              <w:sz w:val="30"/>
              <w:szCs w:val="30"/>
            </w:rPr>
            <w:fldChar w:fldCharType="end"/>
          </w:r>
          <w:r>
            <w:rPr>
              <w:rFonts w:ascii="仿宋" w:hAnsi="仿宋" w:eastAsia="仿宋"/>
              <w:sz w:val="30"/>
              <w:szCs w:val="30"/>
            </w:rPr>
            <w:fldChar w:fldCharType="end"/>
          </w:r>
        </w:p>
        <w:p w14:paraId="5F538CF7">
          <w:pPr>
            <w:pStyle w:val="11"/>
            <w:jc w:val="right"/>
            <w:rPr>
              <w:rFonts w:ascii="仿宋" w:hAnsi="仿宋" w:eastAsia="仿宋" w:cstheme="minorBidi"/>
              <w:sz w:val="30"/>
              <w:szCs w:val="30"/>
            </w:rPr>
          </w:pPr>
          <w:r>
            <w:fldChar w:fldCharType="begin"/>
          </w:r>
          <w:r>
            <w:instrText xml:space="preserve"> HYPERLINK \l "_Toc239752586" </w:instrText>
          </w:r>
          <w:r>
            <w:fldChar w:fldCharType="separate"/>
          </w:r>
          <w:r>
            <w:rPr>
              <w:rStyle w:val="21"/>
              <w:rFonts w:hint="eastAsia" w:ascii="仿宋" w:hAnsi="仿宋" w:eastAsia="仿宋" w:cs="楷体_GB2312"/>
              <w:sz w:val="30"/>
              <w:szCs w:val="30"/>
            </w:rPr>
            <w:t>（四）预算绩效管理情况</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_Toc239752586 \h </w:instrText>
          </w:r>
          <w:r>
            <w:rPr>
              <w:rFonts w:ascii="仿宋" w:hAnsi="仿宋" w:eastAsia="仿宋"/>
              <w:sz w:val="30"/>
              <w:szCs w:val="30"/>
            </w:rPr>
            <w:fldChar w:fldCharType="separate"/>
          </w:r>
          <w:r>
            <w:rPr>
              <w:rFonts w:ascii="仿宋" w:hAnsi="仿宋" w:eastAsia="仿宋"/>
              <w:sz w:val="30"/>
              <w:szCs w:val="30"/>
            </w:rPr>
            <w:t>16</w:t>
          </w:r>
          <w:r>
            <w:rPr>
              <w:rFonts w:ascii="仿宋" w:hAnsi="仿宋" w:eastAsia="仿宋"/>
              <w:sz w:val="30"/>
              <w:szCs w:val="30"/>
            </w:rPr>
            <w:fldChar w:fldCharType="end"/>
          </w:r>
          <w:r>
            <w:rPr>
              <w:rFonts w:ascii="仿宋" w:hAnsi="仿宋" w:eastAsia="仿宋"/>
              <w:sz w:val="30"/>
              <w:szCs w:val="30"/>
            </w:rPr>
            <w:fldChar w:fldCharType="end"/>
          </w:r>
        </w:p>
        <w:p w14:paraId="10AB633E">
          <w:pPr>
            <w:pStyle w:val="16"/>
            <w:jc w:val="right"/>
            <w:rPr>
              <w:rFonts w:cstheme="minorBidi"/>
              <w:sz w:val="30"/>
              <w:szCs w:val="30"/>
            </w:rPr>
          </w:pPr>
          <w:r>
            <w:fldChar w:fldCharType="begin"/>
          </w:r>
          <w:r>
            <w:instrText xml:space="preserve"> HYPERLINK \l "_Toc239752587" </w:instrText>
          </w:r>
          <w:r>
            <w:fldChar w:fldCharType="separate"/>
          </w:r>
          <w:r>
            <w:rPr>
              <w:rStyle w:val="21"/>
              <w:rFonts w:hint="eastAsia" w:cs="方正小标宋简体"/>
              <w:sz w:val="30"/>
              <w:szCs w:val="30"/>
            </w:rPr>
            <w:t>第三部分</w:t>
          </w:r>
          <w:r>
            <w:rPr>
              <w:rStyle w:val="21"/>
              <w:rFonts w:cs="方正小标宋简体"/>
              <w:sz w:val="30"/>
              <w:szCs w:val="30"/>
            </w:rPr>
            <w:t xml:space="preserve">  </w:t>
          </w:r>
          <w:r>
            <w:rPr>
              <w:rStyle w:val="21"/>
              <w:rFonts w:hint="eastAsia" w:cs="方正小标宋简体"/>
              <w:sz w:val="30"/>
              <w:szCs w:val="30"/>
            </w:rPr>
            <w:t>名词解释</w:t>
          </w:r>
          <w:r>
            <w:rPr>
              <w:sz w:val="30"/>
              <w:szCs w:val="30"/>
            </w:rPr>
            <w:tab/>
          </w:r>
          <w:r>
            <w:rPr>
              <w:sz w:val="30"/>
              <w:szCs w:val="30"/>
            </w:rPr>
            <w:fldChar w:fldCharType="begin"/>
          </w:r>
          <w:r>
            <w:rPr>
              <w:sz w:val="30"/>
              <w:szCs w:val="30"/>
            </w:rPr>
            <w:instrText xml:space="preserve"> PAGEREF _Toc239752587 \h </w:instrText>
          </w:r>
          <w:r>
            <w:rPr>
              <w:sz w:val="30"/>
              <w:szCs w:val="30"/>
            </w:rPr>
            <w:fldChar w:fldCharType="separate"/>
          </w:r>
          <w:r>
            <w:rPr>
              <w:sz w:val="30"/>
              <w:szCs w:val="30"/>
            </w:rPr>
            <w:t>23</w:t>
          </w:r>
          <w:r>
            <w:rPr>
              <w:sz w:val="30"/>
              <w:szCs w:val="30"/>
            </w:rPr>
            <w:fldChar w:fldCharType="end"/>
          </w:r>
          <w:r>
            <w:rPr>
              <w:sz w:val="30"/>
              <w:szCs w:val="30"/>
            </w:rPr>
            <w:fldChar w:fldCharType="end"/>
          </w:r>
        </w:p>
        <w:p w14:paraId="2E99788E">
          <w:pPr>
            <w:pStyle w:val="16"/>
            <w:jc w:val="right"/>
            <w:rPr>
              <w:rFonts w:cstheme="minorBidi"/>
              <w:sz w:val="30"/>
              <w:szCs w:val="30"/>
            </w:rPr>
          </w:pPr>
          <w:r>
            <w:fldChar w:fldCharType="begin"/>
          </w:r>
          <w:r>
            <w:instrText xml:space="preserve"> HYPERLINK \l "_Toc239752588" </w:instrText>
          </w:r>
          <w:r>
            <w:fldChar w:fldCharType="separate"/>
          </w:r>
          <w:r>
            <w:rPr>
              <w:rStyle w:val="21"/>
              <w:rFonts w:hint="eastAsia" w:cs="方正小标宋简体"/>
              <w:sz w:val="30"/>
              <w:szCs w:val="30"/>
            </w:rPr>
            <w:t>第四部分</w:t>
          </w:r>
          <w:r>
            <w:rPr>
              <w:rStyle w:val="21"/>
              <w:rFonts w:cs="方正小标宋简体"/>
              <w:sz w:val="30"/>
              <w:szCs w:val="30"/>
            </w:rPr>
            <w:t xml:space="preserve">  </w:t>
          </w:r>
          <w:r>
            <w:rPr>
              <w:rStyle w:val="21"/>
              <w:rFonts w:hint="eastAsia" w:cs="方正小标宋简体"/>
              <w:sz w:val="30"/>
              <w:szCs w:val="30"/>
            </w:rPr>
            <w:t>附件</w:t>
          </w:r>
          <w:r>
            <w:rPr>
              <w:sz w:val="30"/>
              <w:szCs w:val="30"/>
            </w:rPr>
            <w:tab/>
          </w:r>
          <w:r>
            <w:rPr>
              <w:sz w:val="30"/>
              <w:szCs w:val="30"/>
            </w:rPr>
            <w:fldChar w:fldCharType="begin"/>
          </w:r>
          <w:r>
            <w:rPr>
              <w:sz w:val="30"/>
              <w:szCs w:val="30"/>
            </w:rPr>
            <w:instrText xml:space="preserve"> PAGEREF _Toc239752588 \h </w:instrText>
          </w:r>
          <w:r>
            <w:rPr>
              <w:sz w:val="30"/>
              <w:szCs w:val="30"/>
            </w:rPr>
            <w:fldChar w:fldCharType="separate"/>
          </w:r>
          <w:r>
            <w:rPr>
              <w:sz w:val="30"/>
              <w:szCs w:val="30"/>
            </w:rPr>
            <w:t>28</w:t>
          </w:r>
          <w:r>
            <w:rPr>
              <w:sz w:val="30"/>
              <w:szCs w:val="30"/>
            </w:rPr>
            <w:fldChar w:fldCharType="end"/>
          </w:r>
          <w:r>
            <w:rPr>
              <w:sz w:val="30"/>
              <w:szCs w:val="30"/>
            </w:rPr>
            <w:fldChar w:fldCharType="end"/>
          </w:r>
        </w:p>
        <w:p w14:paraId="609A10EA">
          <w:pPr>
            <w:pStyle w:val="16"/>
            <w:jc w:val="right"/>
            <w:rPr>
              <w:rFonts w:cstheme="minorBidi"/>
              <w:sz w:val="30"/>
              <w:szCs w:val="30"/>
            </w:rPr>
          </w:pPr>
          <w:r>
            <w:fldChar w:fldCharType="begin"/>
          </w:r>
          <w:r>
            <w:instrText xml:space="preserve"> HYPERLINK \l "_Toc239752589" </w:instrText>
          </w:r>
          <w:r>
            <w:fldChar w:fldCharType="separate"/>
          </w:r>
          <w:r>
            <w:rPr>
              <w:rStyle w:val="21"/>
              <w:rFonts w:hint="eastAsia" w:cs="方正小标宋简体"/>
              <w:sz w:val="30"/>
              <w:szCs w:val="30"/>
            </w:rPr>
            <w:t>第五部分</w:t>
          </w:r>
          <w:r>
            <w:rPr>
              <w:rStyle w:val="21"/>
              <w:rFonts w:cs="方正小标宋简体"/>
              <w:sz w:val="30"/>
              <w:szCs w:val="30"/>
            </w:rPr>
            <w:t xml:space="preserve">  </w:t>
          </w:r>
          <w:r>
            <w:rPr>
              <w:rStyle w:val="21"/>
              <w:rFonts w:hint="eastAsia" w:cs="方正小标宋简体"/>
              <w:sz w:val="30"/>
              <w:szCs w:val="30"/>
            </w:rPr>
            <w:t>附表</w:t>
          </w:r>
          <w:r>
            <w:rPr>
              <w:sz w:val="30"/>
              <w:szCs w:val="30"/>
            </w:rPr>
            <w:tab/>
          </w:r>
          <w:r>
            <w:rPr>
              <w:sz w:val="30"/>
              <w:szCs w:val="30"/>
            </w:rPr>
            <w:fldChar w:fldCharType="begin"/>
          </w:r>
          <w:r>
            <w:rPr>
              <w:sz w:val="30"/>
              <w:szCs w:val="30"/>
            </w:rPr>
            <w:instrText xml:space="preserve"> PAGEREF _Toc239752589 \h </w:instrText>
          </w:r>
          <w:r>
            <w:rPr>
              <w:sz w:val="30"/>
              <w:szCs w:val="30"/>
            </w:rPr>
            <w:fldChar w:fldCharType="separate"/>
          </w:r>
          <w:r>
            <w:rPr>
              <w:sz w:val="30"/>
              <w:szCs w:val="30"/>
            </w:rPr>
            <w:t>155</w:t>
          </w:r>
          <w:r>
            <w:rPr>
              <w:sz w:val="30"/>
              <w:szCs w:val="30"/>
            </w:rPr>
            <w:fldChar w:fldCharType="end"/>
          </w:r>
          <w:r>
            <w:rPr>
              <w:sz w:val="30"/>
              <w:szCs w:val="30"/>
            </w:rPr>
            <w:fldChar w:fldCharType="end"/>
          </w:r>
        </w:p>
        <w:p w14:paraId="11F5E757">
          <w:pPr>
            <w:pStyle w:val="16"/>
            <w:jc w:val="right"/>
            <w:rPr>
              <w:rFonts w:cstheme="minorBidi"/>
              <w:sz w:val="30"/>
              <w:szCs w:val="30"/>
            </w:rPr>
          </w:pPr>
          <w:r>
            <w:fldChar w:fldCharType="begin"/>
          </w:r>
          <w:r>
            <w:instrText xml:space="preserve"> HYPERLINK \l "_Toc239752590" </w:instrText>
          </w:r>
          <w:r>
            <w:fldChar w:fldCharType="separate"/>
          </w:r>
          <w:r>
            <w:rPr>
              <w:rStyle w:val="21"/>
              <w:rFonts w:hint="eastAsia" w:cs="仿宋_GB2312"/>
              <w:kern w:val="0"/>
              <w:sz w:val="30"/>
              <w:szCs w:val="30"/>
            </w:rPr>
            <w:t>一、收入支出决算总表</w:t>
          </w:r>
          <w:r>
            <w:rPr>
              <w:sz w:val="30"/>
              <w:szCs w:val="30"/>
            </w:rPr>
            <w:tab/>
          </w:r>
          <w:r>
            <w:rPr>
              <w:sz w:val="30"/>
              <w:szCs w:val="30"/>
            </w:rPr>
            <w:fldChar w:fldCharType="begin"/>
          </w:r>
          <w:r>
            <w:rPr>
              <w:sz w:val="30"/>
              <w:szCs w:val="30"/>
            </w:rPr>
            <w:instrText xml:space="preserve"> PAGEREF _Toc239752590 \h </w:instrText>
          </w:r>
          <w:r>
            <w:rPr>
              <w:sz w:val="30"/>
              <w:szCs w:val="30"/>
            </w:rPr>
            <w:fldChar w:fldCharType="separate"/>
          </w:r>
          <w:r>
            <w:rPr>
              <w:sz w:val="30"/>
              <w:szCs w:val="30"/>
            </w:rPr>
            <w:t>155</w:t>
          </w:r>
          <w:r>
            <w:rPr>
              <w:sz w:val="30"/>
              <w:szCs w:val="30"/>
            </w:rPr>
            <w:fldChar w:fldCharType="end"/>
          </w:r>
          <w:r>
            <w:rPr>
              <w:sz w:val="30"/>
              <w:szCs w:val="30"/>
            </w:rPr>
            <w:fldChar w:fldCharType="end"/>
          </w:r>
        </w:p>
        <w:p w14:paraId="4C28076D">
          <w:pPr>
            <w:pStyle w:val="17"/>
            <w:jc w:val="right"/>
            <w:rPr>
              <w:rFonts w:ascii="仿宋" w:hAnsi="仿宋" w:eastAsia="仿宋" w:cstheme="minorBidi"/>
              <w:sz w:val="30"/>
              <w:szCs w:val="30"/>
            </w:rPr>
          </w:pPr>
          <w:r>
            <w:fldChar w:fldCharType="begin"/>
          </w:r>
          <w:r>
            <w:instrText xml:space="preserve"> HYPERLINK \l "_Toc239752591" </w:instrText>
          </w:r>
          <w:r>
            <w:fldChar w:fldCharType="separate"/>
          </w:r>
          <w:r>
            <w:rPr>
              <w:rStyle w:val="21"/>
              <w:rFonts w:hint="eastAsia" w:ascii="仿宋" w:hAnsi="仿宋" w:eastAsia="仿宋" w:cs="仿宋_GB2312"/>
              <w:kern w:val="0"/>
              <w:sz w:val="30"/>
              <w:szCs w:val="30"/>
            </w:rPr>
            <w:t>二、收入决算表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_Toc239752591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0E94D81B">
          <w:pPr>
            <w:pStyle w:val="17"/>
            <w:jc w:val="right"/>
            <w:rPr>
              <w:rFonts w:ascii="仿宋" w:hAnsi="仿宋" w:eastAsia="仿宋" w:cstheme="minorBidi"/>
              <w:sz w:val="30"/>
              <w:szCs w:val="30"/>
            </w:rPr>
          </w:pPr>
          <w:r>
            <w:fldChar w:fldCharType="begin"/>
          </w:r>
          <w:r>
            <w:instrText xml:space="preserve"> HYPERLINK \l "_Toc239752592" </w:instrText>
          </w:r>
          <w:r>
            <w:fldChar w:fldCharType="separate"/>
          </w:r>
          <w:r>
            <w:rPr>
              <w:rStyle w:val="21"/>
              <w:rFonts w:hint="eastAsia" w:ascii="仿宋" w:hAnsi="仿宋" w:eastAsia="仿宋" w:cs="仿宋_GB2312"/>
              <w:kern w:val="0"/>
              <w:sz w:val="30"/>
              <w:szCs w:val="30"/>
            </w:rPr>
            <w:t>三、支出决算表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_Toc239752592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39B2CDEB">
          <w:pPr>
            <w:pStyle w:val="17"/>
            <w:jc w:val="right"/>
            <w:rPr>
              <w:rFonts w:ascii="仿宋" w:hAnsi="仿宋" w:eastAsia="仿宋" w:cstheme="minorBidi"/>
              <w:sz w:val="30"/>
              <w:szCs w:val="30"/>
            </w:rPr>
          </w:pPr>
          <w:r>
            <w:fldChar w:fldCharType="begin"/>
          </w:r>
          <w:r>
            <w:instrText xml:space="preserve"> HYPERLINK \l "_Toc239752593" </w:instrText>
          </w:r>
          <w:r>
            <w:fldChar w:fldCharType="separate"/>
          </w:r>
          <w:r>
            <w:rPr>
              <w:rStyle w:val="21"/>
              <w:rFonts w:hint="eastAsia" w:ascii="仿宋" w:hAnsi="仿宋" w:eastAsia="仿宋" w:cs="仿宋_GB2312"/>
              <w:kern w:val="0"/>
              <w:sz w:val="30"/>
              <w:szCs w:val="30"/>
            </w:rPr>
            <w:t>四、财政拨款收入支出决算总表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_Toc239752593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5647B793">
          <w:pPr>
            <w:pStyle w:val="17"/>
            <w:jc w:val="right"/>
            <w:rPr>
              <w:rFonts w:ascii="仿宋" w:hAnsi="仿宋" w:eastAsia="仿宋" w:cstheme="minorBidi"/>
              <w:sz w:val="30"/>
              <w:szCs w:val="30"/>
            </w:rPr>
          </w:pPr>
          <w:r>
            <w:fldChar w:fldCharType="begin"/>
          </w:r>
          <w:r>
            <w:instrText xml:space="preserve"> HYPERLINK \l "_Toc239752594" </w:instrText>
          </w:r>
          <w:r>
            <w:fldChar w:fldCharType="separate"/>
          </w:r>
          <w:r>
            <w:rPr>
              <w:rStyle w:val="21"/>
              <w:rFonts w:hint="eastAsia" w:ascii="仿宋" w:hAnsi="仿宋" w:eastAsia="仿宋" w:cs="仿宋_GB2312"/>
              <w:kern w:val="0"/>
              <w:sz w:val="30"/>
              <w:szCs w:val="30"/>
            </w:rPr>
            <w:t>五、财政拨款支出决算明细表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_Toc239752594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64C2BADA">
          <w:pPr>
            <w:pStyle w:val="17"/>
            <w:jc w:val="right"/>
            <w:rPr>
              <w:rFonts w:ascii="仿宋" w:hAnsi="仿宋" w:eastAsia="仿宋" w:cstheme="minorBidi"/>
              <w:sz w:val="30"/>
              <w:szCs w:val="30"/>
            </w:rPr>
          </w:pPr>
          <w:r>
            <w:fldChar w:fldCharType="begin"/>
          </w:r>
          <w:r>
            <w:instrText xml:space="preserve"> HYPERLINK \l "_Toc239752595" </w:instrText>
          </w:r>
          <w:r>
            <w:fldChar w:fldCharType="separate"/>
          </w:r>
          <w:r>
            <w:rPr>
              <w:rStyle w:val="21"/>
              <w:rFonts w:hint="eastAsia" w:ascii="仿宋" w:hAnsi="仿宋" w:eastAsia="仿宋" w:cs="仿宋_GB2312"/>
              <w:kern w:val="0"/>
              <w:sz w:val="30"/>
              <w:szCs w:val="30"/>
            </w:rPr>
            <w:t>六、一般公共预算财政拨款支出决算表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_Toc239752595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3181AA14">
          <w:pPr>
            <w:pStyle w:val="17"/>
            <w:jc w:val="right"/>
            <w:rPr>
              <w:rFonts w:ascii="仿宋" w:hAnsi="仿宋" w:eastAsia="仿宋" w:cstheme="minorBidi"/>
              <w:sz w:val="30"/>
              <w:szCs w:val="30"/>
            </w:rPr>
          </w:pPr>
          <w:r>
            <w:fldChar w:fldCharType="begin"/>
          </w:r>
          <w:r>
            <w:instrText xml:space="preserve"> HYPERLINK \l "_Toc239752596" </w:instrText>
          </w:r>
          <w:r>
            <w:fldChar w:fldCharType="separate"/>
          </w:r>
          <w:r>
            <w:rPr>
              <w:rStyle w:val="21"/>
              <w:rFonts w:hint="eastAsia" w:ascii="仿宋" w:hAnsi="仿宋" w:eastAsia="仿宋" w:cs="仿宋_GB2312"/>
              <w:kern w:val="0"/>
              <w:sz w:val="30"/>
              <w:szCs w:val="30"/>
            </w:rPr>
            <w:t>七、一般公共预算财政拨款支出决算明细表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_Toc239752596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1AE3653F">
          <w:pPr>
            <w:pStyle w:val="17"/>
            <w:jc w:val="right"/>
            <w:rPr>
              <w:rFonts w:ascii="仿宋" w:hAnsi="仿宋" w:eastAsia="仿宋" w:cstheme="minorBidi"/>
              <w:sz w:val="30"/>
              <w:szCs w:val="30"/>
            </w:rPr>
          </w:pPr>
          <w:r>
            <w:fldChar w:fldCharType="begin"/>
          </w:r>
          <w:r>
            <w:instrText xml:space="preserve"> HYPERLINK \l "_Toc239752597" </w:instrText>
          </w:r>
          <w:r>
            <w:fldChar w:fldCharType="separate"/>
          </w:r>
          <w:r>
            <w:rPr>
              <w:rStyle w:val="21"/>
              <w:rFonts w:hint="eastAsia" w:ascii="仿宋" w:hAnsi="仿宋" w:eastAsia="仿宋" w:cs="仿宋_GB2312"/>
              <w:kern w:val="0"/>
              <w:sz w:val="30"/>
              <w:szCs w:val="30"/>
            </w:rPr>
            <w:t>八、一般公共预算财政拨款基本支出决算表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_Toc239752597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61EAAEE6">
          <w:pPr>
            <w:pStyle w:val="17"/>
            <w:jc w:val="right"/>
            <w:rPr>
              <w:rFonts w:ascii="仿宋" w:hAnsi="仿宋" w:eastAsia="仿宋" w:cstheme="minorBidi"/>
              <w:sz w:val="30"/>
              <w:szCs w:val="30"/>
            </w:rPr>
          </w:pPr>
          <w:r>
            <w:fldChar w:fldCharType="begin"/>
          </w:r>
          <w:r>
            <w:instrText xml:space="preserve"> HYPERLINK \l "_Toc239752598" </w:instrText>
          </w:r>
          <w:r>
            <w:fldChar w:fldCharType="separate"/>
          </w:r>
          <w:r>
            <w:rPr>
              <w:rStyle w:val="21"/>
              <w:rFonts w:hint="eastAsia" w:ascii="仿宋" w:hAnsi="仿宋" w:eastAsia="仿宋" w:cs="仿宋_GB2312"/>
              <w:kern w:val="0"/>
              <w:sz w:val="30"/>
              <w:szCs w:val="30"/>
            </w:rPr>
            <w:t>九、一般公共预算财政拨款项目支出决算表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_Toc239752598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4C5BB5A0">
          <w:pPr>
            <w:pStyle w:val="17"/>
            <w:jc w:val="right"/>
            <w:rPr>
              <w:rFonts w:ascii="仿宋" w:hAnsi="仿宋" w:eastAsia="仿宋" w:cstheme="minorBidi"/>
              <w:sz w:val="30"/>
              <w:szCs w:val="30"/>
            </w:rPr>
          </w:pPr>
          <w:r>
            <w:fldChar w:fldCharType="begin"/>
          </w:r>
          <w:r>
            <w:instrText xml:space="preserve"> HYPERLINK \l "_Toc239752599" </w:instrText>
          </w:r>
          <w:r>
            <w:fldChar w:fldCharType="separate"/>
          </w:r>
          <w:r>
            <w:rPr>
              <w:rStyle w:val="21"/>
              <w:rFonts w:hint="eastAsia" w:ascii="仿宋" w:hAnsi="仿宋" w:eastAsia="仿宋" w:cs="仿宋_GB2312"/>
              <w:kern w:val="0"/>
              <w:sz w:val="30"/>
              <w:szCs w:val="30"/>
            </w:rPr>
            <w:t>十、政府性基金预算财政拨款收入支出决算表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_Toc239752599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602C4B9F">
          <w:pPr>
            <w:pStyle w:val="17"/>
            <w:jc w:val="right"/>
            <w:rPr>
              <w:rFonts w:ascii="仿宋" w:hAnsi="仿宋" w:eastAsia="仿宋" w:cstheme="minorBidi"/>
              <w:sz w:val="30"/>
              <w:szCs w:val="30"/>
            </w:rPr>
          </w:pPr>
          <w:r>
            <w:fldChar w:fldCharType="begin"/>
          </w:r>
          <w:r>
            <w:instrText xml:space="preserve"> HYPERLINK \l "_Toc239752600" </w:instrText>
          </w:r>
          <w:r>
            <w:fldChar w:fldCharType="separate"/>
          </w:r>
          <w:r>
            <w:rPr>
              <w:rStyle w:val="21"/>
              <w:rFonts w:hint="eastAsia" w:ascii="仿宋" w:hAnsi="仿宋" w:eastAsia="仿宋" w:cs="仿宋_GB2312"/>
              <w:kern w:val="0"/>
              <w:sz w:val="30"/>
              <w:szCs w:val="30"/>
            </w:rPr>
            <w:t>十一、国有资本经营预算财政拨款收入支出决算表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_Toc239752600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097FD8E7">
          <w:pPr>
            <w:pStyle w:val="17"/>
            <w:jc w:val="right"/>
            <w:rPr>
              <w:rFonts w:ascii="仿宋" w:hAnsi="仿宋" w:eastAsia="仿宋" w:cstheme="minorBidi"/>
              <w:sz w:val="30"/>
              <w:szCs w:val="30"/>
            </w:rPr>
          </w:pPr>
          <w:r>
            <w:fldChar w:fldCharType="begin"/>
          </w:r>
          <w:r>
            <w:instrText xml:space="preserve"> HYPERLINK \l "_Toc239752601" </w:instrText>
          </w:r>
          <w:r>
            <w:fldChar w:fldCharType="separate"/>
          </w:r>
          <w:r>
            <w:rPr>
              <w:rStyle w:val="21"/>
              <w:rFonts w:hint="eastAsia" w:ascii="仿宋" w:hAnsi="仿宋" w:eastAsia="仿宋" w:cs="仿宋_GB2312"/>
              <w:kern w:val="0"/>
              <w:sz w:val="30"/>
              <w:szCs w:val="30"/>
            </w:rPr>
            <w:t>十二、国有资本经营预算财政拨款支出决算表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_Toc239752601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1A6642FB">
          <w:pPr>
            <w:pStyle w:val="17"/>
            <w:jc w:val="right"/>
            <w:rPr>
              <w:rFonts w:ascii="仿宋" w:hAnsi="仿宋" w:eastAsia="仿宋" w:cstheme="minorBidi"/>
              <w:sz w:val="30"/>
              <w:szCs w:val="30"/>
            </w:rPr>
          </w:pPr>
          <w:r>
            <w:fldChar w:fldCharType="begin"/>
          </w:r>
          <w:r>
            <w:instrText xml:space="preserve"> HYPERLINK \l "_Toc239752602" </w:instrText>
          </w:r>
          <w:r>
            <w:fldChar w:fldCharType="separate"/>
          </w:r>
          <w:r>
            <w:rPr>
              <w:rStyle w:val="21"/>
              <w:rFonts w:hint="eastAsia" w:ascii="仿宋" w:hAnsi="仿宋" w:eastAsia="仿宋" w:cs="仿宋_GB2312"/>
              <w:kern w:val="0"/>
              <w:sz w:val="30"/>
              <w:szCs w:val="30"/>
            </w:rPr>
            <w:t>十三、财政拨款“三公”经费支出决算表</w:t>
          </w:r>
          <w:r>
            <w:rPr>
              <w:rFonts w:ascii="仿宋" w:hAnsi="仿宋" w:eastAsia="仿宋"/>
              <w:sz w:val="30"/>
              <w:szCs w:val="30"/>
            </w:rPr>
            <w:tab/>
          </w:r>
          <w:r>
            <w:rPr>
              <w:rFonts w:ascii="仿宋" w:hAnsi="仿宋" w:eastAsia="仿宋"/>
              <w:sz w:val="30"/>
              <w:szCs w:val="30"/>
            </w:rPr>
            <w:fldChar w:fldCharType="begin"/>
          </w:r>
          <w:r>
            <w:rPr>
              <w:rFonts w:ascii="仿宋" w:hAnsi="仿宋" w:eastAsia="仿宋"/>
              <w:sz w:val="30"/>
              <w:szCs w:val="30"/>
            </w:rPr>
            <w:instrText xml:space="preserve"> PAGEREF _Toc239752602 \h </w:instrText>
          </w:r>
          <w:r>
            <w:rPr>
              <w:rFonts w:ascii="仿宋" w:hAnsi="仿宋" w:eastAsia="仿宋"/>
              <w:sz w:val="30"/>
              <w:szCs w:val="30"/>
            </w:rPr>
            <w:fldChar w:fldCharType="separate"/>
          </w:r>
          <w:r>
            <w:rPr>
              <w:rFonts w:ascii="仿宋" w:hAnsi="仿宋" w:eastAsia="仿宋"/>
              <w:sz w:val="30"/>
              <w:szCs w:val="30"/>
            </w:rPr>
            <w:t>155</w:t>
          </w:r>
          <w:r>
            <w:rPr>
              <w:rFonts w:ascii="仿宋" w:hAnsi="仿宋" w:eastAsia="仿宋"/>
              <w:sz w:val="30"/>
              <w:szCs w:val="30"/>
            </w:rPr>
            <w:fldChar w:fldCharType="end"/>
          </w:r>
          <w:r>
            <w:rPr>
              <w:rFonts w:ascii="仿宋" w:hAnsi="仿宋" w:eastAsia="仿宋"/>
              <w:sz w:val="30"/>
              <w:szCs w:val="30"/>
            </w:rPr>
            <w:fldChar w:fldCharType="end"/>
          </w:r>
        </w:p>
        <w:p w14:paraId="2B257189">
          <w:pPr>
            <w:jc w:val="right"/>
          </w:pPr>
          <w:r>
            <w:rPr>
              <w:rFonts w:ascii="仿宋" w:hAnsi="仿宋" w:eastAsia="仿宋"/>
              <w:bCs/>
              <w:sz w:val="30"/>
              <w:szCs w:val="30"/>
              <w:lang w:val="zh-CN"/>
            </w:rPr>
            <w:fldChar w:fldCharType="end"/>
          </w:r>
        </w:p>
      </w:sdtContent>
    </w:sdt>
    <w:p w14:paraId="0F1AB132">
      <w:pPr>
        <w:pStyle w:val="17"/>
        <w:adjustRightInd w:val="0"/>
        <w:snapToGrid w:val="0"/>
        <w:spacing w:line="560" w:lineRule="exact"/>
        <w:jc w:val="left"/>
        <w:rPr>
          <w:rFonts w:eastAsia="仿宋_GB2312" w:cs="仿宋_GB2312"/>
          <w:b/>
          <w:bCs/>
          <w:sz w:val="32"/>
          <w:szCs w:val="32"/>
        </w:rPr>
        <w:sectPr>
          <w:footerReference r:id="rId3" w:type="first"/>
          <w:pgSz w:w="11906" w:h="16838"/>
          <w:pgMar w:top="2098" w:right="1474" w:bottom="1985" w:left="1588" w:header="907" w:footer="1644" w:gutter="0"/>
          <w:pgNumType w:start="1"/>
          <w:cols w:space="425" w:num="1"/>
          <w:docGrid w:type="lines" w:linePitch="312" w:charSpace="0"/>
        </w:sectPr>
      </w:pPr>
    </w:p>
    <w:p w14:paraId="49D0ED84">
      <w:pPr>
        <w:pStyle w:val="5"/>
        <w:ind w:firstLine="1760" w:firstLineChars="400"/>
        <w:rPr>
          <w:rStyle w:val="31"/>
          <w:rFonts w:eastAsia="方正小标宋简体" w:cs="方正小标宋简体"/>
          <w:b/>
          <w:bCs w:val="0"/>
        </w:rPr>
      </w:pPr>
      <w:bookmarkStart w:id="7" w:name="_Toc239752564"/>
      <w:bookmarkStart w:id="8" w:name="_Toc15396599"/>
      <w:bookmarkStart w:id="9" w:name="_Toc15377196"/>
      <w:r>
        <w:rPr>
          <w:rFonts w:hint="eastAsia" w:eastAsia="方正小标宋简体" w:cs="方正小标宋简体"/>
          <w:b w:val="0"/>
        </w:rPr>
        <w:t xml:space="preserve">第一部分 </w:t>
      </w:r>
      <w:r>
        <w:rPr>
          <w:rFonts w:eastAsia="方正小标宋简体" w:cs="方正小标宋简体"/>
          <w:b w:val="0"/>
        </w:rPr>
        <w:t xml:space="preserve"> </w:t>
      </w:r>
      <w:r>
        <w:rPr>
          <w:rFonts w:hint="eastAsia" w:eastAsia="方正小标宋简体" w:cs="方正小标宋简体"/>
          <w:b w:val="0"/>
        </w:rPr>
        <w:t>部门</w:t>
      </w:r>
      <w:r>
        <w:rPr>
          <w:rStyle w:val="31"/>
          <w:rFonts w:hint="eastAsia" w:eastAsia="方正小标宋简体" w:cs="方正小标宋简体"/>
          <w:b w:val="0"/>
          <w:bCs w:val="0"/>
        </w:rPr>
        <w:t>概况</w:t>
      </w:r>
      <w:bookmarkEnd w:id="7"/>
      <w:bookmarkEnd w:id="8"/>
      <w:bookmarkEnd w:id="9"/>
    </w:p>
    <w:p w14:paraId="683D8AD9">
      <w:pPr>
        <w:widowControl/>
        <w:jc w:val="left"/>
        <w:rPr>
          <w:rFonts w:eastAsia="黑体"/>
          <w:sz w:val="32"/>
          <w:szCs w:val="32"/>
        </w:rPr>
      </w:pPr>
    </w:p>
    <w:p w14:paraId="140C8E20">
      <w:pPr>
        <w:pStyle w:val="6"/>
        <w:numPr>
          <w:ilvl w:val="0"/>
          <w:numId w:val="1"/>
        </w:numPr>
        <w:rPr>
          <w:rFonts w:ascii="Times New Roman" w:hAnsi="Times New Roman" w:eastAsia="黑体"/>
          <w:b w:val="0"/>
        </w:rPr>
      </w:pPr>
      <w:bookmarkStart w:id="10" w:name="_Toc239752565"/>
      <w:r>
        <w:rPr>
          <w:rFonts w:hint="eastAsia" w:ascii="Times New Roman" w:hAnsi="Times New Roman" w:eastAsia="黑体"/>
          <w:b w:val="0"/>
        </w:rPr>
        <w:t>部门职责</w:t>
      </w:r>
      <w:bookmarkEnd w:id="10"/>
    </w:p>
    <w:p w14:paraId="51B635ED">
      <w:pPr>
        <w:ind w:firstLine="800" w:firstLineChars="250"/>
        <w:rPr>
          <w:rFonts w:eastAsia="仿宋_GB2312"/>
          <w:kern w:val="0"/>
          <w:sz w:val="32"/>
          <w:szCs w:val="32"/>
        </w:rPr>
      </w:pPr>
      <w:r>
        <w:rPr>
          <w:rFonts w:eastAsia="仿宋_GB2312"/>
          <w:kern w:val="0"/>
          <w:sz w:val="32"/>
          <w:szCs w:val="32"/>
        </w:rPr>
        <w:t>围绕我市地方经济发展，承担农业、林业、水利等方面科学技术研究及技术推广应用工作，为全市“三农”提供科技支撑和智力支持。</w:t>
      </w:r>
    </w:p>
    <w:p w14:paraId="548D34D8"/>
    <w:p w14:paraId="31142229">
      <w:pPr>
        <w:pStyle w:val="6"/>
        <w:rPr>
          <w:rStyle w:val="32"/>
          <w:rFonts w:ascii="Times New Roman" w:hAnsi="Times New Roman"/>
          <w:b w:val="0"/>
          <w:bCs w:val="0"/>
        </w:rPr>
      </w:pPr>
      <w:bookmarkStart w:id="11" w:name="_Toc15396601"/>
      <w:bookmarkStart w:id="12" w:name="_Toc239752566"/>
      <w:bookmarkStart w:id="13" w:name="_Toc15377200"/>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11"/>
      <w:bookmarkEnd w:id="12"/>
      <w:bookmarkEnd w:id="13"/>
    </w:p>
    <w:p w14:paraId="3E2FDE3B">
      <w:pPr>
        <w:pStyle w:val="10"/>
        <w:adjustRightInd w:val="0"/>
        <w:snapToGrid w:val="0"/>
        <w:spacing w:before="93" w:line="600" w:lineRule="exact"/>
        <w:ind w:firstLine="672" w:firstLineChars="210"/>
        <w:rPr>
          <w:rFonts w:ascii="Times New Roman"/>
          <w:sz w:val="32"/>
          <w:szCs w:val="32"/>
        </w:rPr>
      </w:pPr>
      <w:r>
        <w:rPr>
          <w:rFonts w:ascii="Times New Roman"/>
          <w:sz w:val="32"/>
          <w:szCs w:val="32"/>
        </w:rPr>
        <w:t>市农林科学院下属二级预算单位</w:t>
      </w:r>
      <w:r>
        <w:rPr>
          <w:rFonts w:hint="eastAsia" w:ascii="Times New Roman"/>
          <w:sz w:val="32"/>
          <w:szCs w:val="32"/>
        </w:rPr>
        <w:t>1个</w:t>
      </w:r>
      <w:r>
        <w:rPr>
          <w:rFonts w:ascii="Times New Roman"/>
          <w:sz w:val="32"/>
          <w:szCs w:val="32"/>
        </w:rPr>
        <w:t>，其中行政机构0个，参照公务员法管理的事业机构0个，其他事业机构1个。纳入市农林科学院202</w:t>
      </w:r>
      <w:r>
        <w:rPr>
          <w:rFonts w:hint="eastAsia" w:ascii="Times New Roman"/>
          <w:sz w:val="32"/>
          <w:szCs w:val="32"/>
        </w:rPr>
        <w:t>5</w:t>
      </w:r>
      <w:r>
        <w:rPr>
          <w:rFonts w:ascii="Times New Roman"/>
          <w:sz w:val="32"/>
          <w:szCs w:val="32"/>
        </w:rPr>
        <w:t>年度部门决算编制范围的</w:t>
      </w:r>
      <w:r>
        <w:rPr>
          <w:rFonts w:hint="eastAsia" w:ascii="Times New Roman" w:cs="仿宋_GB2312"/>
          <w:sz w:val="32"/>
          <w:szCs w:val="32"/>
        </w:rPr>
        <w:t>二级预算单位包括：</w:t>
      </w:r>
      <w:r>
        <w:rPr>
          <w:rFonts w:ascii="Times New Roman"/>
          <w:sz w:val="32"/>
          <w:szCs w:val="32"/>
        </w:rPr>
        <w:t>攀枝花市农林科学研究院。</w:t>
      </w:r>
    </w:p>
    <w:p w14:paraId="5346D037">
      <w:pPr>
        <w:widowControl/>
        <w:jc w:val="left"/>
        <w:rPr>
          <w:rFonts w:eastAsia="仿宋"/>
          <w:kern w:val="0"/>
          <w:sz w:val="32"/>
          <w:szCs w:val="32"/>
        </w:rPr>
      </w:pPr>
      <w:r>
        <w:rPr>
          <w:rFonts w:eastAsia="仿宋"/>
          <w:sz w:val="32"/>
          <w:szCs w:val="32"/>
        </w:rPr>
        <w:br w:type="page"/>
      </w:r>
    </w:p>
    <w:p w14:paraId="67742E01">
      <w:pPr>
        <w:pStyle w:val="5"/>
        <w:jc w:val="center"/>
        <w:rPr>
          <w:rFonts w:eastAsia="方正小标宋简体" w:cs="方正小标宋简体"/>
          <w:b w:val="0"/>
        </w:rPr>
      </w:pPr>
      <w:bookmarkStart w:id="14" w:name="_Toc15396602"/>
      <w:bookmarkStart w:id="15" w:name="_Toc15377204"/>
      <w:bookmarkStart w:id="16" w:name="_Toc239752567"/>
      <w:r>
        <w:rPr>
          <w:rFonts w:hint="eastAsia" w:eastAsia="方正小标宋简体" w:cs="方正小标宋简体"/>
          <w:b w:val="0"/>
        </w:rPr>
        <w:t>第二部分  2025年度部门决算情况说明</w:t>
      </w:r>
      <w:bookmarkEnd w:id="14"/>
      <w:bookmarkEnd w:id="15"/>
      <w:bookmarkEnd w:id="16"/>
    </w:p>
    <w:p w14:paraId="54A65F5E"/>
    <w:p w14:paraId="53C58DBE">
      <w:pPr>
        <w:pStyle w:val="30"/>
        <w:spacing w:line="600" w:lineRule="exact"/>
        <w:ind w:firstLine="640"/>
        <w:outlineLvl w:val="1"/>
        <w:rPr>
          <w:rStyle w:val="32"/>
          <w:rFonts w:ascii="Times New Roman" w:hAnsi="Times New Roman" w:eastAsia="黑体"/>
          <w:b w:val="0"/>
        </w:rPr>
      </w:pPr>
      <w:bookmarkStart w:id="17" w:name="_Toc239752568"/>
      <w:bookmarkStart w:id="18" w:name="_Toc15396603"/>
      <w:bookmarkStart w:id="19" w:name="_Toc15377205"/>
      <w:r>
        <w:rPr>
          <w:rFonts w:hint="eastAsia" w:eastAsia="黑体"/>
          <w:sz w:val="32"/>
          <w:szCs w:val="32"/>
        </w:rPr>
        <w:t>一、收</w:t>
      </w:r>
      <w:r>
        <w:rPr>
          <w:rStyle w:val="32"/>
          <w:rFonts w:hint="eastAsia" w:ascii="Times New Roman" w:hAnsi="Times New Roman" w:eastAsia="黑体"/>
          <w:b w:val="0"/>
        </w:rPr>
        <w:t>入支出决算总体情况说明</w:t>
      </w:r>
      <w:bookmarkEnd w:id="17"/>
      <w:bookmarkEnd w:id="18"/>
      <w:bookmarkEnd w:id="19"/>
    </w:p>
    <w:p w14:paraId="01C5E9AE">
      <w:pPr>
        <w:ind w:firstLine="640" w:firstLineChars="200"/>
        <w:rPr>
          <w:sz w:val="32"/>
          <w:szCs w:val="32"/>
        </w:rPr>
      </w:pPr>
      <w:r>
        <w:rPr>
          <w:rFonts w:hint="eastAsia" w:eastAsia="仿宋_GB2312"/>
          <w:kern w:val="0"/>
          <w:sz w:val="32"/>
          <w:szCs w:val="32"/>
        </w:rPr>
        <w:t>2025年度收入、支出总计均为4225.07万元。与上年度相比，收入、支出总计各增加268.07万元，增长6.77%。主要变动原因：争取上级转移支付项目及科技创新成果转化项目数量及经费较上年度有所增长，项目收入增加，按期执行项目落地，相应项目支出增加。</w:t>
      </w:r>
    </w:p>
    <w:p w14:paraId="226406BC">
      <w:pPr>
        <w:jc w:val="center"/>
      </w:pPr>
      <w:r>
        <w:rPr>
          <w:rFonts w:hint="eastAsia"/>
        </w:rPr>
        <w:drawing>
          <wp:inline distT="0" distB="0" distL="114300" distR="114300">
            <wp:extent cx="3582035" cy="2879725"/>
            <wp:effectExtent l="0" t="0" r="14605" b="635"/>
            <wp:docPr id="17"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
                    <pic:cNvPicPr>
                      <a:picLocks noChangeAspect="1"/>
                    </pic:cNvPicPr>
                  </pic:nvPicPr>
                  <pic:blipFill>
                    <a:blip r:embed="rId6"/>
                    <a:srcRect l="21425" t="15088" r="29817" b="15195"/>
                    <a:stretch>
                      <a:fillRect/>
                    </a:stretch>
                  </pic:blipFill>
                  <pic:spPr>
                    <a:xfrm>
                      <a:off x="0" y="0"/>
                      <a:ext cx="3582035" cy="2879725"/>
                    </a:xfrm>
                    <a:prstGeom prst="rect">
                      <a:avLst/>
                    </a:prstGeom>
                  </pic:spPr>
                </pic:pic>
              </a:graphicData>
            </a:graphic>
          </wp:inline>
        </w:drawing>
      </w:r>
    </w:p>
    <w:p w14:paraId="57C2AAE5">
      <w:pPr>
        <w:jc w:val="center"/>
      </w:pPr>
      <w:r>
        <w:rPr>
          <w:rFonts w:hint="eastAsia" w:eastAsia="仿宋_GB2312"/>
          <w:kern w:val="0"/>
          <w:sz w:val="32"/>
          <w:szCs w:val="32"/>
        </w:rPr>
        <w:t>（图1：收入、支出决算总计变动情况图）（柱状图）</w:t>
      </w:r>
    </w:p>
    <w:p w14:paraId="150CD8DB">
      <w:pPr>
        <w:ind w:firstLine="640" w:firstLineChars="200"/>
        <w:rPr>
          <w:rFonts w:eastAsia="仿宋_GB2312" w:cs="仿宋_GB2312"/>
          <w:sz w:val="32"/>
          <w:szCs w:val="32"/>
        </w:rPr>
      </w:pPr>
    </w:p>
    <w:p w14:paraId="40F9F67D">
      <w:pPr>
        <w:pStyle w:val="30"/>
        <w:spacing w:line="600" w:lineRule="exact"/>
        <w:ind w:firstLine="640"/>
        <w:outlineLvl w:val="1"/>
        <w:rPr>
          <w:rFonts w:eastAsia="黑体"/>
          <w:sz w:val="32"/>
          <w:szCs w:val="32"/>
        </w:rPr>
      </w:pPr>
      <w:bookmarkStart w:id="20" w:name="_Toc15377206"/>
      <w:bookmarkStart w:id="21" w:name="_Toc239752569"/>
      <w:bookmarkStart w:id="22" w:name="_Toc15396604"/>
      <w:r>
        <w:rPr>
          <w:rFonts w:hint="eastAsia" w:eastAsia="黑体"/>
          <w:sz w:val="32"/>
          <w:szCs w:val="32"/>
        </w:rPr>
        <w:t>二、收入决算情况说明</w:t>
      </w:r>
      <w:bookmarkEnd w:id="20"/>
      <w:bookmarkEnd w:id="21"/>
      <w:bookmarkEnd w:id="22"/>
    </w:p>
    <w:p w14:paraId="75FF3AFF">
      <w:pPr>
        <w:ind w:firstLine="640" w:firstLineChars="200"/>
        <w:rPr>
          <w:rFonts w:eastAsia="仿宋_GB2312"/>
          <w:kern w:val="0"/>
          <w:sz w:val="32"/>
          <w:szCs w:val="32"/>
        </w:rPr>
      </w:pPr>
      <w:r>
        <w:rPr>
          <w:rFonts w:hint="eastAsia" w:eastAsia="仿宋_GB2312"/>
          <w:kern w:val="0"/>
          <w:sz w:val="32"/>
          <w:szCs w:val="32"/>
        </w:rPr>
        <w:t>2025年度本年收入合计4104.9万元，其中：一般公共预算财政拨款收入3614.66万元，占88.06%；事业收入170.87万元，占4.16%；其他收入319.37万元，占7.78%。</w:t>
      </w:r>
    </w:p>
    <w:p w14:paraId="687A508A">
      <w:pPr>
        <w:ind w:firstLine="640" w:firstLineChars="200"/>
        <w:rPr>
          <w:rFonts w:eastAsia="仿宋_GB2312"/>
          <w:kern w:val="0"/>
          <w:sz w:val="32"/>
          <w:szCs w:val="32"/>
        </w:rPr>
      </w:pPr>
    </w:p>
    <w:p w14:paraId="59888D75">
      <w:pPr>
        <w:jc w:val="center"/>
        <w:rPr>
          <w:b/>
          <w:bCs/>
        </w:rPr>
      </w:pPr>
      <w:r>
        <w:rPr>
          <w:rFonts w:hint="eastAsia"/>
          <w:b/>
          <w:bCs/>
        </w:rPr>
        <w:drawing>
          <wp:inline distT="0" distB="0" distL="114300" distR="114300">
            <wp:extent cx="2879725" cy="2879725"/>
            <wp:effectExtent l="0" t="0" r="635" b="635"/>
            <wp:docPr id="9" name="图片 9" descr="决算图片2"/>
            <wp:cNvGraphicFramePr/>
            <a:graphic xmlns:a="http://schemas.openxmlformats.org/drawingml/2006/main">
              <a:graphicData uri="http://schemas.openxmlformats.org/drawingml/2006/picture">
                <pic:pic xmlns:pic="http://schemas.openxmlformats.org/drawingml/2006/picture">
                  <pic:nvPicPr>
                    <pic:cNvPr id="9" name="图片 9" descr="决算图片2"/>
                    <pic:cNvPicPr preferRelativeResize="0"/>
                  </pic:nvPicPr>
                  <pic:blipFill>
                    <a:blip r:embed="rId7"/>
                    <a:srcRect l="31485" t="20146" r="29316" b="16833"/>
                    <a:stretch>
                      <a:fillRect/>
                    </a:stretch>
                  </pic:blipFill>
                  <pic:spPr>
                    <a:xfrm>
                      <a:off x="0" y="0"/>
                      <a:ext cx="2879725" cy="2879725"/>
                    </a:xfrm>
                    <a:prstGeom prst="rect">
                      <a:avLst/>
                    </a:prstGeom>
                  </pic:spPr>
                </pic:pic>
              </a:graphicData>
            </a:graphic>
          </wp:inline>
        </w:drawing>
      </w:r>
    </w:p>
    <w:p w14:paraId="74BF575B">
      <w:pPr>
        <w:jc w:val="center"/>
      </w:pPr>
      <w:r>
        <w:rPr>
          <w:rFonts w:hint="eastAsia" w:eastAsia="仿宋_GB2312"/>
          <w:kern w:val="0"/>
          <w:sz w:val="32"/>
          <w:szCs w:val="32"/>
        </w:rPr>
        <w:t>（图2：收入决算结构图）（饼状图）</w:t>
      </w:r>
    </w:p>
    <w:p w14:paraId="0F66DF1D">
      <w:pPr>
        <w:pStyle w:val="30"/>
        <w:spacing w:line="600" w:lineRule="exact"/>
        <w:ind w:firstLine="640"/>
        <w:outlineLvl w:val="1"/>
        <w:rPr>
          <w:rStyle w:val="32"/>
          <w:rFonts w:ascii="Times New Roman" w:hAnsi="Times New Roman" w:eastAsia="黑体"/>
          <w:b w:val="0"/>
        </w:rPr>
      </w:pPr>
      <w:bookmarkStart w:id="23" w:name="_Toc239752570"/>
      <w:bookmarkStart w:id="24" w:name="_Toc15377207"/>
      <w:bookmarkStart w:id="25" w:name="_Toc15396605"/>
      <w:r>
        <w:rPr>
          <w:rFonts w:hint="eastAsia" w:eastAsia="黑体"/>
          <w:sz w:val="32"/>
          <w:szCs w:val="32"/>
        </w:rPr>
        <w:t>三、支</w:t>
      </w:r>
      <w:r>
        <w:rPr>
          <w:rStyle w:val="32"/>
          <w:rFonts w:hint="eastAsia" w:ascii="Times New Roman" w:hAnsi="Times New Roman" w:eastAsia="黑体"/>
          <w:b w:val="0"/>
        </w:rPr>
        <w:t>出决算情况说明</w:t>
      </w:r>
      <w:bookmarkEnd w:id="23"/>
      <w:bookmarkEnd w:id="24"/>
      <w:bookmarkEnd w:id="25"/>
    </w:p>
    <w:p w14:paraId="453C4A19">
      <w:pPr>
        <w:ind w:firstLine="640" w:firstLineChars="200"/>
        <w:rPr>
          <w:rFonts w:eastAsia="仿宋_GB2312" w:cs="仿宋_GB2312"/>
          <w:b/>
          <w:bCs/>
          <w:color w:val="FF0000"/>
          <w:sz w:val="32"/>
          <w:szCs w:val="32"/>
        </w:rPr>
      </w:pPr>
      <w:r>
        <w:rPr>
          <w:rFonts w:hint="eastAsia" w:eastAsia="仿宋_GB2312"/>
          <w:kern w:val="0"/>
          <w:sz w:val="32"/>
          <w:szCs w:val="32"/>
        </w:rPr>
        <w:t>2025年度本年支出合计4047.8万元，其中：基本支出3138.19万元，占77.53%；项目支出909.61万元，占22.47%。</w:t>
      </w:r>
      <w:r>
        <w:rPr>
          <w:rFonts w:eastAsia="仿宋_GB2312" w:cs="仿宋_GB2312"/>
          <w:b/>
          <w:bCs/>
          <w:color w:val="FF0000"/>
          <w:sz w:val="32"/>
          <w:szCs w:val="32"/>
        </w:rPr>
        <w:t xml:space="preserve"> </w:t>
      </w:r>
    </w:p>
    <w:p w14:paraId="3C445741">
      <w:pPr>
        <w:ind w:firstLine="640" w:firstLineChars="200"/>
        <w:rPr>
          <w:rFonts w:eastAsia="仿宋_GB2312"/>
          <w:kern w:val="0"/>
          <w:sz w:val="32"/>
          <w:szCs w:val="32"/>
        </w:rPr>
      </w:pPr>
    </w:p>
    <w:p w14:paraId="73BCE184">
      <w:pPr>
        <w:jc w:val="center"/>
        <w:rPr>
          <w:b/>
          <w:bCs/>
        </w:rPr>
      </w:pPr>
      <w:r>
        <w:rPr>
          <w:rFonts w:hint="eastAsia"/>
          <w:b/>
          <w:bCs/>
        </w:rPr>
        <w:drawing>
          <wp:inline distT="0" distB="0" distL="114300" distR="114300">
            <wp:extent cx="2879725" cy="2879725"/>
            <wp:effectExtent l="0" t="0" r="635" b="635"/>
            <wp:docPr id="10" name="图片 10" descr="决算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决算图片3"/>
                    <pic:cNvPicPr preferRelativeResize="0">
                      <a:picLocks noChangeAspect="1"/>
                    </pic:cNvPicPr>
                  </pic:nvPicPr>
                  <pic:blipFill>
                    <a:blip r:embed="rId8"/>
                    <a:srcRect l="36858" t="21153" r="34061" b="19203"/>
                    <a:stretch>
                      <a:fillRect/>
                    </a:stretch>
                  </pic:blipFill>
                  <pic:spPr>
                    <a:xfrm>
                      <a:off x="0" y="0"/>
                      <a:ext cx="2879725" cy="2879725"/>
                    </a:xfrm>
                    <a:prstGeom prst="rect">
                      <a:avLst/>
                    </a:prstGeom>
                  </pic:spPr>
                </pic:pic>
              </a:graphicData>
            </a:graphic>
          </wp:inline>
        </w:drawing>
      </w:r>
    </w:p>
    <w:p w14:paraId="136AB1EF">
      <w:pPr>
        <w:jc w:val="center"/>
        <w:rPr>
          <w:rFonts w:eastAsia="仿宋_GB2312"/>
          <w:kern w:val="0"/>
          <w:sz w:val="32"/>
          <w:szCs w:val="32"/>
        </w:rPr>
      </w:pPr>
      <w:r>
        <w:rPr>
          <w:rFonts w:hint="eastAsia" w:eastAsia="仿宋_GB2312"/>
          <w:kern w:val="0"/>
          <w:sz w:val="32"/>
          <w:szCs w:val="32"/>
        </w:rPr>
        <w:t>（图3：支出决算结构图）（饼状图）</w:t>
      </w:r>
    </w:p>
    <w:p w14:paraId="5CB36684">
      <w:pPr>
        <w:spacing w:line="600" w:lineRule="exact"/>
        <w:ind w:firstLine="640" w:firstLineChars="200"/>
        <w:outlineLvl w:val="1"/>
        <w:rPr>
          <w:rStyle w:val="32"/>
          <w:rFonts w:ascii="Times New Roman" w:hAnsi="Times New Roman" w:eastAsia="黑体"/>
          <w:b w:val="0"/>
        </w:rPr>
      </w:pPr>
      <w:bookmarkStart w:id="26" w:name="_Toc239752571"/>
      <w:bookmarkStart w:id="27" w:name="_Toc15396606"/>
      <w:bookmarkStart w:id="28" w:name="_Toc15377208"/>
      <w:r>
        <w:rPr>
          <w:rFonts w:hint="eastAsia" w:eastAsia="黑体"/>
          <w:sz w:val="32"/>
          <w:szCs w:val="32"/>
        </w:rPr>
        <w:t>四、财</w:t>
      </w:r>
      <w:r>
        <w:rPr>
          <w:rStyle w:val="32"/>
          <w:rFonts w:hint="eastAsia" w:ascii="Times New Roman" w:hAnsi="Times New Roman" w:eastAsia="黑体"/>
          <w:b w:val="0"/>
        </w:rPr>
        <w:t>政拨款收入支出决算总体情况说明</w:t>
      </w:r>
      <w:bookmarkEnd w:id="26"/>
      <w:bookmarkEnd w:id="27"/>
      <w:bookmarkEnd w:id="28"/>
    </w:p>
    <w:p w14:paraId="7230019F">
      <w:pPr>
        <w:ind w:firstLine="640" w:firstLineChars="200"/>
        <w:rPr>
          <w:rFonts w:eastAsia="仿宋_GB2312"/>
          <w:kern w:val="0"/>
          <w:sz w:val="32"/>
          <w:szCs w:val="32"/>
        </w:rPr>
      </w:pPr>
      <w:r>
        <w:rPr>
          <w:rFonts w:hint="eastAsia" w:eastAsia="仿宋_GB2312" w:cs="仿宋_GB2312"/>
          <w:sz w:val="32"/>
          <w:szCs w:val="32"/>
        </w:rPr>
        <w:t>2025年度财政拨款收入、支出总计均为3614.66万元。与上年度相比，财政拨款收入、支出总计各增加135.37万元，增长3.89%。主要变动原因是</w:t>
      </w:r>
      <w:r>
        <w:rPr>
          <w:rFonts w:hint="eastAsia" w:eastAsia="仿宋_GB2312"/>
          <w:kern w:val="0"/>
          <w:sz w:val="32"/>
          <w:szCs w:val="32"/>
        </w:rPr>
        <w:t>：争取上级转移支付项目经费较上年度有所增长，项目收入增加，按期执行项目落地，相应项目支出增加。</w:t>
      </w:r>
    </w:p>
    <w:p w14:paraId="59A3AFC7">
      <w:pPr>
        <w:ind w:firstLine="640" w:firstLineChars="200"/>
        <w:rPr>
          <w:rFonts w:eastAsia="仿宋_GB2312" w:cs="仿宋_GB2312"/>
          <w:sz w:val="32"/>
          <w:szCs w:val="32"/>
        </w:rPr>
      </w:pPr>
      <w:r>
        <w:rPr>
          <w:rFonts w:hint="eastAsia" w:eastAsia="仿宋_GB2312" w:cs="仿宋_GB2312"/>
          <w:sz w:val="32"/>
          <w:szCs w:val="32"/>
        </w:rPr>
        <w:drawing>
          <wp:inline distT="0" distB="0" distL="114300" distR="114300">
            <wp:extent cx="4575810" cy="2879725"/>
            <wp:effectExtent l="0" t="0" r="11430" b="635"/>
            <wp:docPr id="15" name="图片 1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4"/>
                    <pic:cNvPicPr>
                      <a:picLocks noChangeAspect="1"/>
                    </pic:cNvPicPr>
                  </pic:nvPicPr>
                  <pic:blipFill>
                    <a:blip r:embed="rId9"/>
                    <a:srcRect l="21280" t="17402" r="24463" b="21882"/>
                    <a:stretch>
                      <a:fillRect/>
                    </a:stretch>
                  </pic:blipFill>
                  <pic:spPr>
                    <a:xfrm>
                      <a:off x="0" y="0"/>
                      <a:ext cx="4575810" cy="2879725"/>
                    </a:xfrm>
                    <a:prstGeom prst="rect">
                      <a:avLst/>
                    </a:prstGeom>
                  </pic:spPr>
                </pic:pic>
              </a:graphicData>
            </a:graphic>
          </wp:inline>
        </w:drawing>
      </w:r>
    </w:p>
    <w:p w14:paraId="22180037">
      <w:pPr>
        <w:spacing w:line="600" w:lineRule="exact"/>
        <w:rPr>
          <w:rFonts w:eastAsia="仿宋_GB2312" w:cs="仿宋_GB2312"/>
          <w:sz w:val="32"/>
          <w:szCs w:val="32"/>
        </w:rPr>
      </w:pPr>
      <w:r>
        <w:rPr>
          <w:rFonts w:hint="eastAsia" w:eastAsia="仿宋_GB2312" w:cs="仿宋_GB2312"/>
          <w:sz w:val="32"/>
          <w:szCs w:val="32"/>
        </w:rPr>
        <w:t>（图4：财政拨款收、支决算总计变动情况）（柱状图）</w:t>
      </w:r>
    </w:p>
    <w:p w14:paraId="7F2A1B50">
      <w:pPr>
        <w:spacing w:line="600" w:lineRule="exact"/>
        <w:ind w:firstLine="640"/>
        <w:rPr>
          <w:rFonts w:eastAsia="仿宋_GB2312" w:cs="仿宋_GB2312"/>
          <w:sz w:val="32"/>
          <w:szCs w:val="32"/>
        </w:rPr>
      </w:pPr>
    </w:p>
    <w:p w14:paraId="78024606">
      <w:pPr>
        <w:spacing w:line="600" w:lineRule="exact"/>
        <w:ind w:firstLine="640" w:firstLineChars="200"/>
        <w:outlineLvl w:val="1"/>
        <w:rPr>
          <w:rStyle w:val="32"/>
          <w:rFonts w:ascii="Times New Roman" w:hAnsi="Times New Roman" w:eastAsia="黑体"/>
          <w:b w:val="0"/>
        </w:rPr>
      </w:pPr>
      <w:bookmarkStart w:id="29" w:name="_Toc15396607"/>
      <w:bookmarkStart w:id="30" w:name="_Toc15377209"/>
      <w:bookmarkStart w:id="31" w:name="_Toc239752572"/>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29"/>
      <w:bookmarkEnd w:id="30"/>
      <w:bookmarkEnd w:id="31"/>
    </w:p>
    <w:p w14:paraId="3187CC4A">
      <w:pPr>
        <w:spacing w:line="600" w:lineRule="exact"/>
        <w:ind w:firstLine="643" w:firstLineChars="200"/>
        <w:outlineLvl w:val="2"/>
        <w:rPr>
          <w:rFonts w:eastAsia="楷体_GB2312" w:cs="楷体_GB2312"/>
          <w:b/>
          <w:sz w:val="32"/>
          <w:szCs w:val="32"/>
        </w:rPr>
      </w:pPr>
      <w:bookmarkStart w:id="32" w:name="_Toc15377210"/>
      <w:bookmarkStart w:id="33" w:name="_Toc239752573"/>
      <w:r>
        <w:rPr>
          <w:rFonts w:hint="eastAsia" w:eastAsia="楷体_GB2312" w:cs="楷体_GB2312"/>
          <w:b/>
          <w:sz w:val="32"/>
          <w:szCs w:val="32"/>
        </w:rPr>
        <w:t>（一）一般公共预算财政拨款支出决算总体情况</w:t>
      </w:r>
      <w:bookmarkEnd w:id="32"/>
      <w:bookmarkEnd w:id="33"/>
    </w:p>
    <w:p w14:paraId="14B08DAA">
      <w:pPr>
        <w:ind w:firstLine="640" w:firstLineChars="200"/>
        <w:rPr>
          <w:rFonts w:eastAsia="仿宋_GB2312" w:cs="仿宋_GB2312"/>
          <w:color w:val="FF0000"/>
          <w:sz w:val="32"/>
          <w:szCs w:val="32"/>
        </w:rPr>
      </w:pPr>
      <w:r>
        <w:rPr>
          <w:rFonts w:hint="eastAsia" w:eastAsia="仿宋_GB2312" w:cs="仿宋_GB2312"/>
          <w:sz w:val="32"/>
          <w:szCs w:val="32"/>
        </w:rPr>
        <w:t>2025年度一般公共预算财政拨款支出3614.66万元，占本年支出合计的89.3%。与上年度相比，一般公共预算财政拨款支出增加138.25万元，增长3.98%。主要变动原因是：国家加大对农业的支持，我院开展</w:t>
      </w:r>
      <w:r>
        <w:rPr>
          <w:rFonts w:hint="eastAsia" w:eastAsia="仿宋_GB2312"/>
          <w:kern w:val="0"/>
          <w:sz w:val="32"/>
          <w:szCs w:val="32"/>
        </w:rPr>
        <w:t>涉农专项项目资金项目增多；业务支出上升。</w:t>
      </w:r>
    </w:p>
    <w:p w14:paraId="4F76B2B4">
      <w:pPr>
        <w:ind w:firstLine="640" w:firstLineChars="200"/>
        <w:rPr>
          <w:rFonts w:eastAsia="仿宋_GB2312" w:cs="仿宋_GB2312"/>
          <w:sz w:val="32"/>
          <w:szCs w:val="32"/>
        </w:rPr>
      </w:pPr>
      <w:r>
        <w:rPr>
          <w:rFonts w:hint="eastAsia" w:eastAsia="仿宋_GB2312" w:cs="仿宋_GB2312"/>
          <w:sz w:val="32"/>
          <w:szCs w:val="32"/>
        </w:rPr>
        <w:drawing>
          <wp:inline distT="0" distB="0" distL="114300" distR="114300">
            <wp:extent cx="3599815" cy="2879725"/>
            <wp:effectExtent l="0" t="0" r="12065" b="635"/>
            <wp:docPr id="12" name="图片 12" descr="决算图片5"/>
            <wp:cNvGraphicFramePr/>
            <a:graphic xmlns:a="http://schemas.openxmlformats.org/drawingml/2006/main">
              <a:graphicData uri="http://schemas.openxmlformats.org/drawingml/2006/picture">
                <pic:pic xmlns:pic="http://schemas.openxmlformats.org/drawingml/2006/picture">
                  <pic:nvPicPr>
                    <pic:cNvPr id="12" name="图片 12" descr="决算图片5"/>
                    <pic:cNvPicPr preferRelativeResize="0"/>
                  </pic:nvPicPr>
                  <pic:blipFill>
                    <a:blip r:embed="rId10"/>
                    <a:srcRect l="20280" t="26618" r="31264" b="24282"/>
                    <a:stretch>
                      <a:fillRect/>
                    </a:stretch>
                  </pic:blipFill>
                  <pic:spPr>
                    <a:xfrm>
                      <a:off x="0" y="0"/>
                      <a:ext cx="3599815" cy="2879725"/>
                    </a:xfrm>
                    <a:prstGeom prst="rect">
                      <a:avLst/>
                    </a:prstGeom>
                  </pic:spPr>
                </pic:pic>
              </a:graphicData>
            </a:graphic>
          </wp:inline>
        </w:drawing>
      </w:r>
    </w:p>
    <w:p w14:paraId="20D9FD50">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14:paraId="6EA74FE1">
      <w:pPr>
        <w:spacing w:line="600" w:lineRule="exact"/>
        <w:ind w:firstLine="640"/>
        <w:rPr>
          <w:rFonts w:eastAsia="仿宋_GB2312" w:cs="仿宋_GB2312"/>
          <w:sz w:val="32"/>
          <w:szCs w:val="32"/>
        </w:rPr>
      </w:pPr>
    </w:p>
    <w:p w14:paraId="187CF382">
      <w:pPr>
        <w:spacing w:line="600" w:lineRule="exact"/>
        <w:ind w:firstLine="643" w:firstLineChars="200"/>
        <w:outlineLvl w:val="2"/>
        <w:rPr>
          <w:rFonts w:eastAsia="楷体_GB2312" w:cs="楷体_GB2312"/>
          <w:b/>
          <w:sz w:val="32"/>
          <w:szCs w:val="32"/>
        </w:rPr>
      </w:pPr>
      <w:bookmarkStart w:id="34" w:name="_Toc239752574"/>
      <w:bookmarkStart w:id="35" w:name="_Toc15377211"/>
      <w:r>
        <w:rPr>
          <w:rFonts w:hint="eastAsia" w:eastAsia="楷体_GB2312" w:cs="楷体_GB2312"/>
          <w:b/>
          <w:sz w:val="32"/>
          <w:szCs w:val="32"/>
        </w:rPr>
        <w:t>（二）一般公共预算财政拨款支出决算结构情况</w:t>
      </w:r>
      <w:bookmarkEnd w:id="34"/>
      <w:bookmarkEnd w:id="35"/>
    </w:p>
    <w:p w14:paraId="19DBAC92">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3614.66万元，主要用于以下方面：一般公共服务支出24.52万元，占0.68%；科学技术支出78.48万元，占2.17%；社会保障和就业支出571.67万元，占15.82%；卫生健康支出140.76万元，占3.89%；农林水支出2522.57万元，占69.79 %；住房保障支出191.37万元，占5.29%；其他支出85.29万元，占2.36 %。</w:t>
      </w:r>
    </w:p>
    <w:p w14:paraId="072EDFD2">
      <w:pPr>
        <w:pStyle w:val="22"/>
        <w:jc w:val="center"/>
      </w:pPr>
      <w:r>
        <w:rPr>
          <w:rFonts w:hint="eastAsia"/>
        </w:rPr>
        <w:drawing>
          <wp:inline distT="0" distB="0" distL="114300" distR="114300">
            <wp:extent cx="3787140" cy="2879725"/>
            <wp:effectExtent l="0" t="0" r="0" b="0"/>
            <wp:docPr id="16" name="图片 1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6"/>
                    <pic:cNvPicPr>
                      <a:picLocks noChangeAspect="1"/>
                    </pic:cNvPicPr>
                  </pic:nvPicPr>
                  <pic:blipFill>
                    <a:blip r:embed="rId11"/>
                    <a:srcRect l="29588" t="21710" r="28093" b="21067"/>
                    <a:stretch>
                      <a:fillRect/>
                    </a:stretch>
                  </pic:blipFill>
                  <pic:spPr>
                    <a:xfrm>
                      <a:off x="0" y="0"/>
                      <a:ext cx="3787200" cy="2880000"/>
                    </a:xfrm>
                    <a:prstGeom prst="rect">
                      <a:avLst/>
                    </a:prstGeom>
                  </pic:spPr>
                </pic:pic>
              </a:graphicData>
            </a:graphic>
          </wp:inline>
        </w:drawing>
      </w:r>
    </w:p>
    <w:p w14:paraId="048B3705">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5F7EC8E0">
      <w:pPr>
        <w:spacing w:line="600" w:lineRule="exact"/>
        <w:ind w:firstLine="640"/>
        <w:rPr>
          <w:rFonts w:eastAsia="仿宋_GB2312" w:cs="仿宋_GB2312"/>
          <w:sz w:val="32"/>
          <w:szCs w:val="32"/>
        </w:rPr>
      </w:pPr>
    </w:p>
    <w:p w14:paraId="1047DC5E">
      <w:pPr>
        <w:spacing w:line="600" w:lineRule="exact"/>
        <w:ind w:firstLine="643" w:firstLineChars="200"/>
        <w:outlineLvl w:val="2"/>
        <w:rPr>
          <w:rFonts w:eastAsia="楷体_GB2312" w:cs="楷体_GB2312"/>
          <w:b/>
          <w:color w:val="FF0000"/>
          <w:sz w:val="32"/>
          <w:szCs w:val="32"/>
        </w:rPr>
      </w:pPr>
      <w:bookmarkStart w:id="36" w:name="_Toc15377212"/>
      <w:bookmarkStart w:id="37" w:name="_Toc239752575"/>
      <w:r>
        <w:rPr>
          <w:rFonts w:hint="eastAsia" w:eastAsia="楷体_GB2312" w:cs="楷体_GB2312"/>
          <w:b/>
          <w:sz w:val="32"/>
          <w:szCs w:val="32"/>
        </w:rPr>
        <w:t>（三）一般公共预算财政拨款支出决算具体情况</w:t>
      </w:r>
      <w:bookmarkEnd w:id="36"/>
      <w:bookmarkEnd w:id="37"/>
    </w:p>
    <w:p w14:paraId="46CA19DF">
      <w:pPr>
        <w:spacing w:line="600" w:lineRule="exact"/>
        <w:ind w:firstLine="640"/>
        <w:rPr>
          <w:rFonts w:eastAsia="仿宋_GB2312" w:cs="仿宋_GB2312"/>
          <w:sz w:val="32"/>
          <w:szCs w:val="32"/>
        </w:rPr>
      </w:pPr>
      <w:bookmarkStart w:id="38" w:name="_Toc15377213"/>
      <w:bookmarkStart w:id="39" w:name="_Toc15377444"/>
      <w:bookmarkStart w:id="40" w:name="_Toc15378460"/>
      <w:r>
        <w:rPr>
          <w:rFonts w:hint="eastAsia" w:eastAsia="仿宋_GB2312" w:cs="仿宋_GB2312"/>
          <w:sz w:val="32"/>
          <w:szCs w:val="32"/>
        </w:rPr>
        <w:t>2025年度一般公共预算支出决算数为3614.66万元，完成预算100%。其中：</w:t>
      </w:r>
      <w:bookmarkEnd w:id="38"/>
      <w:bookmarkEnd w:id="39"/>
      <w:bookmarkEnd w:id="40"/>
    </w:p>
    <w:p w14:paraId="1B102D9F">
      <w:pPr>
        <w:spacing w:line="600" w:lineRule="exact"/>
        <w:ind w:firstLine="640"/>
        <w:rPr>
          <w:rFonts w:eastAsia="仿宋_GB2312" w:cs="仿宋_GB2312"/>
          <w:sz w:val="32"/>
          <w:szCs w:val="32"/>
        </w:rPr>
      </w:pPr>
      <w:r>
        <w:rPr>
          <w:rFonts w:hint="eastAsia" w:eastAsia="仿宋_GB2312" w:cs="仿宋_GB2312"/>
          <w:sz w:val="32"/>
          <w:szCs w:val="32"/>
        </w:rPr>
        <w:t xml:space="preserve"> 1.一般公共服务支出（类）组织事务（款）其他组织事务支出（项）：支出决算为24.52万元，完成预算100%。</w:t>
      </w:r>
    </w:p>
    <w:p w14:paraId="0FE2DA90">
      <w:pPr>
        <w:spacing w:line="600" w:lineRule="exact"/>
        <w:ind w:firstLine="640"/>
        <w:rPr>
          <w:rFonts w:eastAsia="仿宋_GB2312" w:cs="仿宋_GB2312"/>
          <w:sz w:val="32"/>
          <w:szCs w:val="32"/>
        </w:rPr>
      </w:pPr>
      <w:r>
        <w:rPr>
          <w:rFonts w:hint="eastAsia" w:eastAsia="仿宋_GB2312" w:cs="仿宋_GB2312"/>
          <w:sz w:val="32"/>
          <w:szCs w:val="32"/>
        </w:rPr>
        <w:t xml:space="preserve"> 2.科学技术支出（类）应用研究（款）社会公益研究（项）：支出决算为63.52万元，完成预算100%。科学技术支出（类）其他科学技术支出（款）其他科学技术支出（项）：支出决算为14.96万元，完成预算100%。</w:t>
      </w:r>
    </w:p>
    <w:p w14:paraId="1AA7A064">
      <w:pPr>
        <w:spacing w:line="600" w:lineRule="exact"/>
        <w:ind w:firstLine="640"/>
        <w:rPr>
          <w:rFonts w:eastAsia="仿宋_GB2312" w:cs="仿宋_GB2312"/>
          <w:sz w:val="32"/>
          <w:szCs w:val="32"/>
        </w:rPr>
      </w:pPr>
      <w:r>
        <w:rPr>
          <w:rFonts w:hint="eastAsia" w:eastAsia="仿宋_GB2312" w:cs="仿宋_GB2312"/>
          <w:sz w:val="32"/>
          <w:szCs w:val="32"/>
        </w:rPr>
        <w:t>3.社会保障和就业支出（类）人力资源和社会保障管理事务（款）其他人力资源和社会保障管理事务支出（项）：支出决算为132.43万元，完成预算100%。社会保障和就业支出（类）行政事业单位养老支出（款）事业单位离退休（项）：支出决算为115.56万元，完成预算100%。社会保障和就业支出（类）行政事业单位养老支出（款）机关事业单位基本养老保险缴费支出（项）：支出决算为253.36万元，完成预算100%。社会保障和就业支出（类）行政事业单位养老支出（款）机关事业单位职业年金缴费支出（项）：支出决算为28.5万元，完成预算100%。社会保障和就业支出（类）抚恤（款）死亡抚恤（项）：支出决算为41.82万元，完成预算100%。</w:t>
      </w:r>
    </w:p>
    <w:p w14:paraId="422F6D23">
      <w:pPr>
        <w:spacing w:line="600" w:lineRule="exact"/>
        <w:ind w:firstLine="640"/>
        <w:rPr>
          <w:rFonts w:eastAsia="仿宋_GB2312" w:cs="仿宋_GB2312"/>
          <w:sz w:val="32"/>
          <w:szCs w:val="32"/>
        </w:rPr>
      </w:pPr>
      <w:r>
        <w:rPr>
          <w:rFonts w:hint="eastAsia" w:eastAsia="仿宋_GB2312" w:cs="仿宋_GB2312"/>
          <w:sz w:val="32"/>
          <w:szCs w:val="32"/>
        </w:rPr>
        <w:t>4.卫生健康支出（类）行政事业单位医疗（款）事业单位医疗（项）：支出决算为126.5万元，完成预算100%。卫生健康支出（类）行政事业单位医疗（款）公务员医疗补助（项）：支出决算为14.26万元，完成预算100%。</w:t>
      </w:r>
    </w:p>
    <w:p w14:paraId="2718615F">
      <w:pPr>
        <w:spacing w:line="600" w:lineRule="exact"/>
        <w:ind w:firstLine="640"/>
        <w:rPr>
          <w:rFonts w:eastAsia="仿宋_GB2312" w:cs="仿宋_GB2312"/>
          <w:sz w:val="32"/>
          <w:szCs w:val="32"/>
        </w:rPr>
      </w:pPr>
      <w:r>
        <w:rPr>
          <w:rFonts w:hint="eastAsia" w:eastAsia="仿宋_GB2312" w:cs="仿宋_GB2312"/>
          <w:sz w:val="32"/>
          <w:szCs w:val="32"/>
        </w:rPr>
        <w:t>5.农林水支出（类）农业农村（款）事业运行（项）：支出决算为2234.4万元，完成预算100%。农林水支出（类）农业农村（款）科技转化与推广服务（项）：支出决算为105.17万元，完成预算100%。农林水支出（类）林业和草原（款）技术推广与转化（项）：支出决算为16.58万元，完成预算100%。农林水支出（类）林业和草原（款）其他林业和草原支出（项）：支出决算为13.84万元，完成预算100%。农林水支出（类）水利（款）水资源节约管理与保护（项）：支出决算为2.58万元，完成预算100%。农林水支出（类）巩固脱贫攻坚成果衔接乡村振兴（款）其他巩固脱贫攻坚成果衔接乡村振兴支出（项）：支出决算为150万元，完成预算100%。</w:t>
      </w:r>
    </w:p>
    <w:p w14:paraId="6A723017">
      <w:pPr>
        <w:spacing w:line="600" w:lineRule="exact"/>
        <w:ind w:firstLine="640"/>
        <w:rPr>
          <w:rFonts w:eastAsia="仿宋_GB2312" w:cs="仿宋_GB2312"/>
          <w:sz w:val="32"/>
          <w:szCs w:val="32"/>
        </w:rPr>
      </w:pPr>
      <w:r>
        <w:rPr>
          <w:rFonts w:hint="eastAsia" w:eastAsia="仿宋_GB2312" w:cs="仿宋_GB2312"/>
          <w:sz w:val="32"/>
          <w:szCs w:val="32"/>
        </w:rPr>
        <w:t>6.住房保障支出（类）住房改革支出（款）住房公积金（项）：支出决算为191.37万元，完成预算100%。</w:t>
      </w:r>
    </w:p>
    <w:p w14:paraId="6403420F">
      <w:pPr>
        <w:spacing w:line="600" w:lineRule="exact"/>
        <w:ind w:firstLine="640"/>
      </w:pPr>
      <w:r>
        <w:rPr>
          <w:rFonts w:hint="eastAsia" w:eastAsia="仿宋_GB2312" w:cs="仿宋_GB2312"/>
          <w:sz w:val="32"/>
          <w:szCs w:val="32"/>
        </w:rPr>
        <w:t>7.其他支出（类）其他支出（款）其他支出（项）：支出决算为85.29万元，完成预算100%。</w:t>
      </w:r>
    </w:p>
    <w:p w14:paraId="6AD952C6">
      <w:pPr>
        <w:tabs>
          <w:tab w:val="right" w:pos="8306"/>
        </w:tabs>
        <w:spacing w:line="600" w:lineRule="exact"/>
        <w:ind w:firstLine="640"/>
        <w:outlineLvl w:val="1"/>
        <w:rPr>
          <w:rStyle w:val="32"/>
          <w:rFonts w:ascii="Times New Roman" w:hAnsi="Times New Roman"/>
        </w:rPr>
      </w:pPr>
      <w:bookmarkStart w:id="41" w:name="_Toc15396608"/>
      <w:bookmarkStart w:id="42" w:name="_Toc239752576"/>
      <w:bookmarkStart w:id="43" w:name="_Toc15377214"/>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41"/>
      <w:bookmarkEnd w:id="42"/>
      <w:bookmarkEnd w:id="43"/>
      <w:r>
        <w:rPr>
          <w:rStyle w:val="32"/>
          <w:rFonts w:ascii="Times New Roman" w:hAnsi="Times New Roman" w:eastAsia="黑体"/>
          <w:b w:val="0"/>
        </w:rPr>
        <w:tab/>
      </w:r>
    </w:p>
    <w:p w14:paraId="0C4C3C5C">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2025年度一般公共预算财政拨款基本支出3138.19万元，其中：</w:t>
      </w:r>
    </w:p>
    <w:p w14:paraId="07C6CCBD">
      <w:pPr>
        <w:spacing w:line="600" w:lineRule="exact"/>
        <w:ind w:firstLine="640" w:firstLineChars="200"/>
        <w:rPr>
          <w:rFonts w:eastAsia="仿宋_GB2312" w:cs="仿宋_GB2312"/>
          <w:sz w:val="32"/>
          <w:szCs w:val="32"/>
        </w:rPr>
      </w:pPr>
      <w:r>
        <w:rPr>
          <w:rFonts w:hint="eastAsia" w:eastAsia="仿宋_GB2312" w:cs="仿宋_GB2312"/>
          <w:sz w:val="32"/>
          <w:szCs w:val="32"/>
        </w:rPr>
        <w:t>人员经费2893.64万元，主要包括：基本工资738.34万元、津贴补贴123.14万元、奖金3.6万元、绩效工资892.52万元、机关事业单位基本养老保险缴费253.36万元、职业年金缴费28.5万元、职工基本医疗保险缴费126.5万元、公务员医疗补助缴费30.74万元、其他社会保障缴费12.68万元、住房公积金191.37万元、其他工资福利支出42.52万元、抚恤金41.82万元、生活补助273.91万元、医疗费补助22.07万元、奖励金0.09万元、其他对个人和家庭的补助112.48万元。</w:t>
      </w:r>
    </w:p>
    <w:p w14:paraId="38ED02F8">
      <w:pPr>
        <w:spacing w:line="600" w:lineRule="exact"/>
        <w:ind w:firstLine="640" w:firstLineChars="200"/>
        <w:rPr>
          <w:rFonts w:eastAsia="仿宋_GB2312" w:cs="仿宋_GB2312"/>
          <w:sz w:val="32"/>
          <w:szCs w:val="32"/>
        </w:rPr>
      </w:pPr>
      <w:r>
        <w:rPr>
          <w:rFonts w:hint="eastAsia" w:eastAsia="仿宋_GB2312" w:cs="仿宋_GB2312"/>
          <w:sz w:val="32"/>
          <w:szCs w:val="32"/>
        </w:rPr>
        <w:t>公用经费244.55万元，主要包括：办公费12.32万元、印刷费0.24万元、水费9.6万元、电费24.95万元、邮电费7.48万元、差旅费6.32万元、维修（护）费28.24万元、培训费0.69万元、公务接待费2.59万元、劳务费38.74万元、委托业务费4.05万元、工会经费19.95万元、福利费21.47万元、公务用车运行维护费24.53万元、其他交通费6.36万元、其他商品和服务支出31.21万元、办公设备购置5.81万元。</w:t>
      </w:r>
    </w:p>
    <w:p w14:paraId="4F4EB684">
      <w:pPr>
        <w:spacing w:line="600" w:lineRule="exact"/>
        <w:ind w:firstLine="640"/>
        <w:outlineLvl w:val="1"/>
        <w:rPr>
          <w:rStyle w:val="32"/>
          <w:rFonts w:ascii="Times New Roman" w:hAnsi="Times New Roman" w:eastAsia="黑体"/>
          <w:b w:val="0"/>
        </w:rPr>
      </w:pPr>
      <w:bookmarkStart w:id="44" w:name="_Toc15396609"/>
      <w:bookmarkStart w:id="45" w:name="_Toc239752577"/>
      <w:bookmarkStart w:id="46" w:name="_Toc15377215"/>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44"/>
      <w:bookmarkEnd w:id="45"/>
      <w:bookmarkEnd w:id="46"/>
    </w:p>
    <w:p w14:paraId="0065032D">
      <w:pPr>
        <w:spacing w:line="600" w:lineRule="exact"/>
        <w:ind w:firstLine="643" w:firstLineChars="200"/>
        <w:outlineLvl w:val="2"/>
        <w:rPr>
          <w:rFonts w:eastAsia="楷体_GB2312" w:cs="楷体_GB2312"/>
          <w:b/>
          <w:sz w:val="32"/>
          <w:szCs w:val="32"/>
        </w:rPr>
      </w:pPr>
      <w:bookmarkStart w:id="47" w:name="_Toc15377216"/>
      <w:bookmarkStart w:id="48" w:name="_Toc239752578"/>
      <w:r>
        <w:rPr>
          <w:rFonts w:hint="eastAsia" w:eastAsia="楷体_GB2312" w:cs="楷体_GB2312"/>
          <w:b/>
          <w:sz w:val="32"/>
          <w:szCs w:val="32"/>
        </w:rPr>
        <w:t>（一）财政拨款“三公”经费支出决算总体情况说明</w:t>
      </w:r>
      <w:bookmarkEnd w:id="47"/>
      <w:bookmarkEnd w:id="48"/>
    </w:p>
    <w:p w14:paraId="41474FF1">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2025年度财政拨款“三公”经费支出决算为27.12万元，完成预算100%，较上年度增加0.97万元，增长3.71%。</w:t>
      </w:r>
    </w:p>
    <w:p w14:paraId="5FFDAE5F">
      <w:pPr>
        <w:spacing w:line="600" w:lineRule="exact"/>
        <w:ind w:firstLine="643" w:firstLineChars="200"/>
        <w:outlineLvl w:val="2"/>
        <w:rPr>
          <w:rFonts w:eastAsia="楷体_GB2312" w:cs="楷体_GB2312"/>
          <w:b/>
          <w:sz w:val="32"/>
          <w:szCs w:val="32"/>
        </w:rPr>
      </w:pPr>
      <w:bookmarkStart w:id="49" w:name="_Toc239752579"/>
      <w:bookmarkStart w:id="50" w:name="_Toc15377217"/>
      <w:r>
        <w:rPr>
          <w:rFonts w:hint="eastAsia" w:eastAsia="楷体_GB2312" w:cs="楷体_GB2312"/>
          <w:b/>
          <w:sz w:val="32"/>
          <w:szCs w:val="32"/>
        </w:rPr>
        <w:t>（二）财政拨款“三公”经费支出决算具体情况说明</w:t>
      </w:r>
      <w:bookmarkEnd w:id="49"/>
      <w:bookmarkEnd w:id="50"/>
    </w:p>
    <w:p w14:paraId="1F0F447E">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2025年度财政拨款“三公”经费支出决算中，因公出国（境）费支出决算0万元，占0%；公务用车购置及运行维护费支出决算24.53万元，占90.45%；公务接待费支出决算2.59万元，占9.55%。具体情况如下：</w:t>
      </w:r>
    </w:p>
    <w:p w14:paraId="3F7F9BA0">
      <w:pPr>
        <w:pStyle w:val="22"/>
        <w:jc w:val="center"/>
        <w:rPr>
          <w:rFonts w:eastAsia="仿宋_GB2312"/>
        </w:rPr>
      </w:pPr>
      <w:r>
        <w:rPr>
          <w:rFonts w:hint="eastAsia" w:eastAsia="仿宋_GB2312"/>
        </w:rPr>
        <w:drawing>
          <wp:inline distT="0" distB="0" distL="114300" distR="114300">
            <wp:extent cx="3747770" cy="2879725"/>
            <wp:effectExtent l="0" t="0" r="1270" b="635"/>
            <wp:docPr id="14" name="图片 14" descr="决算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决算图片7"/>
                    <pic:cNvPicPr>
                      <a:picLocks noChangeAspect="1"/>
                    </pic:cNvPicPr>
                  </pic:nvPicPr>
                  <pic:blipFill>
                    <a:blip r:embed="rId12"/>
                    <a:srcRect l="31264" t="22182" r="28081" b="22289"/>
                    <a:stretch>
                      <a:fillRect/>
                    </a:stretch>
                  </pic:blipFill>
                  <pic:spPr>
                    <a:xfrm>
                      <a:off x="0" y="0"/>
                      <a:ext cx="3747770" cy="2879725"/>
                    </a:xfrm>
                    <a:prstGeom prst="rect">
                      <a:avLst/>
                    </a:prstGeom>
                  </pic:spPr>
                </pic:pic>
              </a:graphicData>
            </a:graphic>
          </wp:inline>
        </w:drawing>
      </w:r>
    </w:p>
    <w:p w14:paraId="18316CA6">
      <w:pPr>
        <w:spacing w:line="600" w:lineRule="exact"/>
        <w:ind w:firstLine="640"/>
        <w:rPr>
          <w:rFonts w:eastAsia="仿宋_GB2312" w:cs="仿宋_GB2312"/>
          <w:sz w:val="32"/>
          <w:szCs w:val="32"/>
        </w:rPr>
      </w:pPr>
      <w:r>
        <w:rPr>
          <w:rFonts w:hint="eastAsia" w:eastAsia="仿宋_GB2312" w:cs="仿宋_GB2312"/>
          <w:sz w:val="32"/>
          <w:szCs w:val="32"/>
        </w:rPr>
        <w:t>（图7：财政拨款“三公”经费支出结构）（饼状图）</w:t>
      </w:r>
    </w:p>
    <w:p w14:paraId="484BD4FC">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全年安排因公出国（境）团组0次，出国（境）0人。因公出国（境）支出决算与2024年度持平。</w:t>
      </w:r>
    </w:p>
    <w:p w14:paraId="636085B8">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2.公务用车购置及运行维护费支出24.53万元，完成预算100%。</w:t>
      </w:r>
      <w:r>
        <w:rPr>
          <w:rFonts w:hint="eastAsia" w:eastAsia="仿宋_GB2312" w:cs="仿宋_GB2312"/>
          <w:sz w:val="32"/>
          <w:szCs w:val="32"/>
        </w:rPr>
        <w:t>公务用车购置及运行维护费支出决算比上年度增加0.46万元，增长1.91%。主要原因是公务车辆老化，维修费用增加。</w:t>
      </w:r>
    </w:p>
    <w:p w14:paraId="4C0BDEA2">
      <w:pPr>
        <w:spacing w:line="600" w:lineRule="exact"/>
        <w:ind w:firstLine="640"/>
        <w:rPr>
          <w:rFonts w:eastAsia="仿宋_GB2312" w:cs="仿宋_GB2312"/>
          <w:sz w:val="32"/>
          <w:szCs w:val="32"/>
        </w:rPr>
      </w:pPr>
      <w:r>
        <w:rPr>
          <w:rFonts w:hint="eastAsia" w:eastAsia="仿宋_GB2312" w:cs="仿宋_GB2312"/>
          <w:sz w:val="32"/>
          <w:szCs w:val="32"/>
        </w:rPr>
        <w:t>其中：公务用车购置支出0万元。全年按规定更新购置公务用车0辆，其中：轿车0辆、金额0万元，越野车0辆、金额0万元，载客汽车0辆、金额0万元。截至2025年12月31日，单位共有公务用车10辆，其中：轿车1辆、越野车7辆、轻型载货汽车2辆。</w:t>
      </w:r>
    </w:p>
    <w:p w14:paraId="1F4ABCC4">
      <w:pPr>
        <w:spacing w:line="600" w:lineRule="exact"/>
        <w:ind w:firstLine="640"/>
        <w:rPr>
          <w:rFonts w:eastAsia="仿宋_GB2312" w:cs="仿宋_GB2312"/>
          <w:sz w:val="32"/>
          <w:szCs w:val="32"/>
        </w:rPr>
      </w:pPr>
      <w:r>
        <w:rPr>
          <w:rFonts w:hint="eastAsia" w:eastAsia="仿宋_GB2312" w:cs="仿宋_GB2312"/>
          <w:sz w:val="32"/>
          <w:szCs w:val="32"/>
        </w:rPr>
        <w:t>公务用车运行维护费支出24.53万元。主要用于执行公务、开展业务活动所需的公务用车燃料费、维修费、过路过桥费、保险费、清洗费等支出。</w:t>
      </w:r>
    </w:p>
    <w:p w14:paraId="7AEBB759">
      <w:pPr>
        <w:spacing w:line="600" w:lineRule="exact"/>
        <w:ind w:firstLine="640"/>
        <w:rPr>
          <w:rFonts w:eastAsia="仿宋_GB2312" w:cs="仿宋_GB2312"/>
          <w:sz w:val="32"/>
          <w:szCs w:val="32"/>
        </w:rPr>
      </w:pPr>
      <w:r>
        <w:rPr>
          <w:rFonts w:hint="eastAsia" w:eastAsia="仿宋_GB2312" w:cs="仿宋_GB2312"/>
          <w:b/>
          <w:bCs/>
          <w:sz w:val="32"/>
          <w:szCs w:val="32"/>
        </w:rPr>
        <w:t>3.公务接待费支出2.59万元，完成预算100%。</w:t>
      </w:r>
      <w:r>
        <w:rPr>
          <w:rFonts w:hint="eastAsia" w:eastAsia="仿宋_GB2312" w:cs="仿宋_GB2312"/>
          <w:sz w:val="32"/>
          <w:szCs w:val="32"/>
        </w:rPr>
        <w:t>公务接待费支出决算比上年度增加0.51万元，增长24.52%。主要原因是</w:t>
      </w:r>
      <w:r>
        <w:rPr>
          <w:rFonts w:eastAsia="仿宋_GB2312" w:cs="仿宋_GB2312"/>
          <w:sz w:val="32"/>
          <w:szCs w:val="32"/>
        </w:rPr>
        <w:t>科研业务交流活动</w:t>
      </w:r>
      <w:r>
        <w:rPr>
          <w:rFonts w:hint="eastAsia" w:eastAsia="仿宋_GB2312" w:cs="仿宋_GB2312"/>
          <w:sz w:val="32"/>
          <w:szCs w:val="32"/>
        </w:rPr>
        <w:t>增加</w:t>
      </w:r>
      <w:r>
        <w:rPr>
          <w:rFonts w:eastAsia="仿宋_GB2312" w:cs="仿宋_GB2312"/>
          <w:sz w:val="32"/>
          <w:szCs w:val="32"/>
        </w:rPr>
        <w:t>，公务接待批次及人次均有所</w:t>
      </w:r>
      <w:r>
        <w:rPr>
          <w:rFonts w:hint="eastAsia" w:eastAsia="仿宋_GB2312" w:cs="仿宋_GB2312"/>
          <w:sz w:val="32"/>
          <w:szCs w:val="32"/>
        </w:rPr>
        <w:t>增加</w:t>
      </w:r>
      <w:r>
        <w:rPr>
          <w:rFonts w:eastAsia="仿宋_GB2312" w:cs="仿宋_GB2312"/>
          <w:sz w:val="32"/>
          <w:szCs w:val="32"/>
        </w:rPr>
        <w:t>。</w:t>
      </w:r>
      <w:r>
        <w:rPr>
          <w:rFonts w:hint="eastAsia" w:eastAsia="仿宋_GB2312" w:cs="仿宋_GB2312"/>
          <w:sz w:val="32"/>
          <w:szCs w:val="32"/>
        </w:rPr>
        <w:t>其中：</w:t>
      </w:r>
    </w:p>
    <w:p w14:paraId="658B982E">
      <w:pPr>
        <w:spacing w:line="600" w:lineRule="exact"/>
        <w:ind w:firstLine="640"/>
        <w:rPr>
          <w:rFonts w:eastAsia="仿宋_GB2312" w:cs="仿宋_GB2312"/>
          <w:color w:val="FF0000"/>
          <w:sz w:val="32"/>
          <w:szCs w:val="32"/>
        </w:rPr>
      </w:pPr>
      <w:r>
        <w:rPr>
          <w:rFonts w:hint="eastAsia" w:eastAsia="仿宋_GB2312" w:cs="仿宋_GB2312"/>
          <w:sz w:val="32"/>
          <w:szCs w:val="32"/>
        </w:rPr>
        <w:t>国内公务接待支出2.59万元，主要用于执行公务、开展业务活动开支的用餐费。国内公务接待22批次，167人次（不包括陪同人员），共计支出2.59万元，具体内容包括：</w:t>
      </w:r>
      <w:r>
        <w:rPr>
          <w:rFonts w:eastAsia="仿宋_GB2312" w:cs="仿宋_GB2312"/>
          <w:color w:val="FF0000"/>
          <w:sz w:val="32"/>
          <w:szCs w:val="32"/>
        </w:rPr>
        <w:t xml:space="preserve"> </w:t>
      </w:r>
    </w:p>
    <w:p w14:paraId="1C99D38B">
      <w:pPr>
        <w:ind w:firstLine="640" w:firstLineChars="200"/>
        <w:rPr>
          <w:rFonts w:eastAsia="仿宋_GB2312" w:cs="仿宋_GB2312"/>
          <w:sz w:val="32"/>
          <w:szCs w:val="32"/>
        </w:rPr>
      </w:pPr>
      <w:r>
        <w:rPr>
          <w:rFonts w:hint="eastAsia" w:eastAsia="仿宋_GB2312" w:cs="仿宋_GB2312"/>
          <w:sz w:val="32"/>
          <w:szCs w:val="32"/>
        </w:rPr>
        <w:t>四川省林业科学研究院一行9人，开展攀枝花荒漠站建站对接工作，接待费用0.16万元；</w:t>
      </w:r>
    </w:p>
    <w:p w14:paraId="1A7D9726">
      <w:pPr>
        <w:ind w:firstLine="640" w:firstLineChars="200"/>
        <w:rPr>
          <w:rFonts w:eastAsia="仿宋_GB2312" w:cs="仿宋_GB2312"/>
          <w:sz w:val="32"/>
          <w:szCs w:val="32"/>
        </w:rPr>
      </w:pPr>
      <w:r>
        <w:rPr>
          <w:rFonts w:eastAsia="仿宋_GB2312" w:cs="仿宋_GB2312"/>
          <w:sz w:val="32"/>
          <w:szCs w:val="32"/>
        </w:rPr>
        <w:t>成都工业学院一行6人</w:t>
      </w:r>
      <w:r>
        <w:rPr>
          <w:rFonts w:hint="eastAsia" w:eastAsia="仿宋_GB2312" w:cs="仿宋_GB2312"/>
          <w:sz w:val="32"/>
          <w:szCs w:val="32"/>
        </w:rPr>
        <w:t>，开展</w:t>
      </w:r>
      <w:r>
        <w:rPr>
          <w:rFonts w:eastAsia="仿宋_GB2312" w:cs="仿宋_GB2312"/>
          <w:sz w:val="32"/>
          <w:szCs w:val="32"/>
        </w:rPr>
        <w:t>攀枝花荒漠站建站</w:t>
      </w:r>
      <w:r>
        <w:rPr>
          <w:rFonts w:hint="eastAsia" w:eastAsia="仿宋_GB2312" w:cs="仿宋_GB2312"/>
          <w:sz w:val="32"/>
          <w:szCs w:val="32"/>
        </w:rPr>
        <w:t>对接</w:t>
      </w:r>
      <w:r>
        <w:rPr>
          <w:rFonts w:eastAsia="仿宋_GB2312" w:cs="仿宋_GB2312"/>
          <w:sz w:val="32"/>
          <w:szCs w:val="32"/>
        </w:rPr>
        <w:t>工作</w:t>
      </w:r>
      <w:r>
        <w:rPr>
          <w:rFonts w:hint="eastAsia" w:eastAsia="仿宋_GB2312" w:cs="仿宋_GB2312"/>
          <w:sz w:val="32"/>
          <w:szCs w:val="32"/>
        </w:rPr>
        <w:t>，接待费用0.11万元；</w:t>
      </w:r>
    </w:p>
    <w:p w14:paraId="4EAFB62B">
      <w:pPr>
        <w:ind w:firstLine="640" w:firstLineChars="200"/>
        <w:rPr>
          <w:rFonts w:eastAsia="仿宋_GB2312" w:cs="仿宋_GB2312"/>
          <w:sz w:val="32"/>
          <w:szCs w:val="32"/>
        </w:rPr>
      </w:pPr>
      <w:r>
        <w:rPr>
          <w:rFonts w:hint="eastAsia" w:eastAsia="仿宋_GB2312" w:cs="仿宋_GB2312"/>
          <w:sz w:val="32"/>
          <w:szCs w:val="32"/>
        </w:rPr>
        <w:t>四川省农业农村厅种业发展处、四川省种子站</w:t>
      </w:r>
      <w:r>
        <w:rPr>
          <w:rFonts w:eastAsia="仿宋_GB2312" w:cs="仿宋_GB2312"/>
          <w:sz w:val="32"/>
          <w:szCs w:val="32"/>
        </w:rPr>
        <w:t>一行9人</w:t>
      </w:r>
      <w:r>
        <w:rPr>
          <w:rFonts w:hint="eastAsia" w:eastAsia="仿宋_GB2312" w:cs="仿宋_GB2312"/>
          <w:sz w:val="32"/>
          <w:szCs w:val="32"/>
        </w:rPr>
        <w:t>，</w:t>
      </w:r>
      <w:r>
        <w:rPr>
          <w:rFonts w:eastAsia="仿宋_GB2312" w:cs="仿宋_GB2312"/>
          <w:sz w:val="32"/>
          <w:szCs w:val="32"/>
        </w:rPr>
        <w:t>开展冬季农作物种子企业检查落实</w:t>
      </w:r>
      <w:r>
        <w:rPr>
          <w:rFonts w:hint="eastAsia" w:eastAsia="仿宋_GB2312" w:cs="仿宋_GB2312"/>
          <w:sz w:val="32"/>
          <w:szCs w:val="32"/>
        </w:rPr>
        <w:t>工作，接待费用0.08万元；</w:t>
      </w:r>
    </w:p>
    <w:p w14:paraId="19AB02B1">
      <w:pPr>
        <w:ind w:firstLine="640" w:firstLineChars="200"/>
        <w:rPr>
          <w:rFonts w:eastAsia="仿宋_GB2312" w:cs="仿宋_GB2312"/>
          <w:sz w:val="32"/>
          <w:szCs w:val="32"/>
        </w:rPr>
      </w:pPr>
      <w:r>
        <w:rPr>
          <w:rFonts w:eastAsia="仿宋_GB2312" w:cs="仿宋_GB2312"/>
          <w:sz w:val="32"/>
          <w:szCs w:val="32"/>
        </w:rPr>
        <w:t>凉山州林业草原科学研究院一行5人</w:t>
      </w:r>
      <w:r>
        <w:rPr>
          <w:rFonts w:hint="eastAsia" w:eastAsia="仿宋_GB2312" w:cs="仿宋_GB2312"/>
          <w:sz w:val="32"/>
          <w:szCs w:val="32"/>
        </w:rPr>
        <w:t>，</w:t>
      </w:r>
      <w:r>
        <w:rPr>
          <w:rFonts w:eastAsia="仿宋_GB2312" w:cs="仿宋_GB2312"/>
          <w:sz w:val="32"/>
          <w:szCs w:val="32"/>
        </w:rPr>
        <w:t>开展核桃穗条采集工作</w:t>
      </w:r>
      <w:r>
        <w:rPr>
          <w:rFonts w:hint="eastAsia" w:eastAsia="仿宋_GB2312" w:cs="仿宋_GB2312"/>
          <w:sz w:val="32"/>
          <w:szCs w:val="32"/>
        </w:rPr>
        <w:t>，接待费用0.07万元；</w:t>
      </w:r>
    </w:p>
    <w:p w14:paraId="67178C06">
      <w:pPr>
        <w:ind w:firstLine="640" w:firstLineChars="200"/>
        <w:rPr>
          <w:rFonts w:eastAsia="仿宋_GB2312" w:cs="仿宋_GB2312"/>
          <w:sz w:val="32"/>
          <w:szCs w:val="32"/>
        </w:rPr>
      </w:pPr>
      <w:r>
        <w:rPr>
          <w:rFonts w:eastAsia="仿宋_GB2312" w:cs="仿宋_GB2312"/>
          <w:sz w:val="32"/>
          <w:szCs w:val="32"/>
        </w:rPr>
        <w:t>成都工业学院一行6人</w:t>
      </w:r>
      <w:r>
        <w:rPr>
          <w:rFonts w:hint="eastAsia" w:eastAsia="仿宋_GB2312" w:cs="仿宋_GB2312"/>
          <w:sz w:val="32"/>
          <w:szCs w:val="32"/>
        </w:rPr>
        <w:t>，</w:t>
      </w:r>
      <w:r>
        <w:rPr>
          <w:rFonts w:eastAsia="仿宋_GB2312" w:cs="仿宋_GB2312"/>
          <w:sz w:val="32"/>
          <w:szCs w:val="32"/>
        </w:rPr>
        <w:t>开展攀枝花林下可燃物基料化应用研究调研</w:t>
      </w:r>
      <w:r>
        <w:rPr>
          <w:rFonts w:hint="eastAsia" w:eastAsia="仿宋_GB2312" w:cs="仿宋_GB2312"/>
          <w:sz w:val="32"/>
          <w:szCs w:val="32"/>
        </w:rPr>
        <w:t>工作，接待费用0.13万元；</w:t>
      </w:r>
    </w:p>
    <w:p w14:paraId="78206738">
      <w:pPr>
        <w:ind w:firstLine="640" w:firstLineChars="200"/>
        <w:rPr>
          <w:rFonts w:eastAsia="仿宋_GB2312" w:cs="仿宋_GB2312"/>
          <w:sz w:val="32"/>
          <w:szCs w:val="32"/>
        </w:rPr>
      </w:pPr>
      <w:r>
        <w:rPr>
          <w:rFonts w:eastAsia="仿宋_GB2312" w:cs="仿宋_GB2312"/>
          <w:sz w:val="32"/>
          <w:szCs w:val="32"/>
        </w:rPr>
        <w:t>四川省农业科学院农业资源与环境研究所一行4人</w:t>
      </w:r>
      <w:r>
        <w:rPr>
          <w:rFonts w:hint="eastAsia" w:eastAsia="仿宋_GB2312" w:cs="仿宋_GB2312"/>
          <w:sz w:val="32"/>
          <w:szCs w:val="32"/>
        </w:rPr>
        <w:t>，</w:t>
      </w:r>
      <w:r>
        <w:rPr>
          <w:rFonts w:eastAsia="仿宋_GB2312" w:cs="仿宋_GB2312"/>
          <w:sz w:val="32"/>
          <w:szCs w:val="32"/>
        </w:rPr>
        <w:t>开展重大科研项目调研实施工作</w:t>
      </w:r>
      <w:r>
        <w:rPr>
          <w:rFonts w:hint="eastAsia" w:eastAsia="仿宋_GB2312" w:cs="仿宋_GB2312"/>
          <w:sz w:val="32"/>
          <w:szCs w:val="32"/>
        </w:rPr>
        <w:t>，接待费用0.07万元；</w:t>
      </w:r>
    </w:p>
    <w:p w14:paraId="5190BF3D">
      <w:pPr>
        <w:ind w:firstLine="640" w:firstLineChars="200"/>
        <w:rPr>
          <w:rFonts w:eastAsia="仿宋_GB2312" w:cs="仿宋_GB2312"/>
          <w:sz w:val="32"/>
          <w:szCs w:val="32"/>
        </w:rPr>
      </w:pPr>
      <w:r>
        <w:rPr>
          <w:rFonts w:eastAsia="仿宋_GB2312" w:cs="仿宋_GB2312"/>
          <w:sz w:val="32"/>
          <w:szCs w:val="32"/>
        </w:rPr>
        <w:t>中国热带农业科学院南亚所一行8人</w:t>
      </w:r>
      <w:r>
        <w:rPr>
          <w:rFonts w:hint="eastAsia" w:eastAsia="仿宋_GB2312" w:cs="仿宋_GB2312"/>
          <w:sz w:val="32"/>
          <w:szCs w:val="32"/>
        </w:rPr>
        <w:t>，</w:t>
      </w:r>
      <w:r>
        <w:rPr>
          <w:rFonts w:eastAsia="仿宋_GB2312" w:cs="仿宋_GB2312"/>
          <w:sz w:val="32"/>
          <w:szCs w:val="32"/>
        </w:rPr>
        <w:t>对接2025年</w:t>
      </w:r>
      <w:r>
        <w:rPr>
          <w:rFonts w:hint="eastAsia" w:eastAsia="仿宋_GB2312" w:cs="仿宋_GB2312"/>
          <w:sz w:val="32"/>
          <w:szCs w:val="32"/>
        </w:rPr>
        <w:t>度</w:t>
      </w:r>
      <w:r>
        <w:rPr>
          <w:rFonts w:eastAsia="仿宋_GB2312" w:cs="仿宋_GB2312"/>
          <w:sz w:val="32"/>
          <w:szCs w:val="32"/>
        </w:rPr>
        <w:t>国家科技奖励申报相关工作</w:t>
      </w:r>
      <w:r>
        <w:rPr>
          <w:rFonts w:hint="eastAsia" w:eastAsia="仿宋_GB2312" w:cs="仿宋_GB2312"/>
          <w:sz w:val="32"/>
          <w:szCs w:val="32"/>
        </w:rPr>
        <w:t>，接待费用0.11万元；</w:t>
      </w:r>
    </w:p>
    <w:p w14:paraId="185AFF8F">
      <w:pPr>
        <w:ind w:firstLine="640" w:firstLineChars="200"/>
        <w:rPr>
          <w:rFonts w:eastAsia="仿宋_GB2312" w:cs="仿宋_GB2312"/>
          <w:sz w:val="32"/>
          <w:szCs w:val="32"/>
        </w:rPr>
      </w:pPr>
      <w:r>
        <w:rPr>
          <w:rFonts w:eastAsia="仿宋_GB2312" w:cs="仿宋_GB2312"/>
          <w:sz w:val="32"/>
          <w:szCs w:val="32"/>
        </w:rPr>
        <w:t>宇科能源有限公司一行8人</w:t>
      </w:r>
      <w:r>
        <w:rPr>
          <w:rFonts w:hint="eastAsia" w:eastAsia="仿宋_GB2312" w:cs="仿宋_GB2312"/>
          <w:sz w:val="32"/>
          <w:szCs w:val="32"/>
        </w:rPr>
        <w:t>，</w:t>
      </w:r>
      <w:r>
        <w:rPr>
          <w:rFonts w:eastAsia="仿宋_GB2312" w:cs="仿宋_GB2312"/>
          <w:sz w:val="32"/>
          <w:szCs w:val="32"/>
        </w:rPr>
        <w:t>特色水果矿物质肥研究合作交流</w:t>
      </w:r>
      <w:r>
        <w:rPr>
          <w:rFonts w:hint="eastAsia" w:eastAsia="仿宋_GB2312" w:cs="仿宋_GB2312"/>
          <w:sz w:val="32"/>
          <w:szCs w:val="32"/>
        </w:rPr>
        <w:t>，接待费用0.16万元；</w:t>
      </w:r>
    </w:p>
    <w:p w14:paraId="4CA02BBE">
      <w:pPr>
        <w:ind w:firstLine="640" w:firstLineChars="200"/>
        <w:rPr>
          <w:rFonts w:eastAsia="仿宋_GB2312" w:cs="仿宋_GB2312"/>
          <w:sz w:val="32"/>
          <w:szCs w:val="32"/>
        </w:rPr>
      </w:pPr>
      <w:r>
        <w:rPr>
          <w:rFonts w:eastAsia="仿宋_GB2312" w:cs="仿宋_GB2312"/>
          <w:sz w:val="32"/>
          <w:szCs w:val="32"/>
        </w:rPr>
        <w:t>四川省草原科学研究院一行5人</w:t>
      </w:r>
      <w:r>
        <w:rPr>
          <w:rFonts w:hint="eastAsia" w:eastAsia="仿宋_GB2312" w:cs="仿宋_GB2312"/>
          <w:sz w:val="32"/>
          <w:szCs w:val="32"/>
        </w:rPr>
        <w:t>，开展</w:t>
      </w:r>
      <w:r>
        <w:rPr>
          <w:rFonts w:eastAsia="仿宋_GB2312" w:cs="仿宋_GB2312"/>
          <w:sz w:val="32"/>
          <w:szCs w:val="32"/>
        </w:rPr>
        <w:t>攀西草业种质资源圃建设等协商工作</w:t>
      </w:r>
      <w:r>
        <w:rPr>
          <w:rFonts w:hint="eastAsia" w:eastAsia="仿宋_GB2312" w:cs="仿宋_GB2312"/>
          <w:sz w:val="32"/>
          <w:szCs w:val="32"/>
        </w:rPr>
        <w:t>，接待费用0.14万元；</w:t>
      </w:r>
    </w:p>
    <w:p w14:paraId="63DB35C1">
      <w:pPr>
        <w:ind w:firstLine="640" w:firstLineChars="200"/>
        <w:rPr>
          <w:rFonts w:eastAsia="仿宋_GB2312" w:cs="仿宋_GB2312"/>
          <w:sz w:val="32"/>
          <w:szCs w:val="32"/>
        </w:rPr>
      </w:pPr>
      <w:r>
        <w:rPr>
          <w:rFonts w:eastAsia="仿宋_GB2312" w:cs="仿宋_GB2312"/>
          <w:sz w:val="32"/>
          <w:szCs w:val="32"/>
        </w:rPr>
        <w:t>四川省林业科学研究院一行4人、成都工业学院材料与环境工程学院一行4人</w:t>
      </w:r>
      <w:r>
        <w:rPr>
          <w:rFonts w:hint="eastAsia" w:eastAsia="仿宋_GB2312" w:cs="仿宋_GB2312"/>
          <w:sz w:val="32"/>
          <w:szCs w:val="32"/>
        </w:rPr>
        <w:t>，</w:t>
      </w:r>
      <w:r>
        <w:rPr>
          <w:rFonts w:eastAsia="仿宋_GB2312" w:cs="仿宋_GB2312"/>
          <w:sz w:val="32"/>
          <w:szCs w:val="32"/>
        </w:rPr>
        <w:t>从</w:t>
      </w:r>
      <w:r>
        <w:rPr>
          <w:rFonts w:hint="eastAsia" w:eastAsia="仿宋_GB2312" w:cs="仿宋_GB2312"/>
          <w:sz w:val="32"/>
          <w:szCs w:val="32"/>
        </w:rPr>
        <w:t>开展</w:t>
      </w:r>
      <w:r>
        <w:rPr>
          <w:rFonts w:eastAsia="仿宋_GB2312" w:cs="仿宋_GB2312"/>
          <w:sz w:val="32"/>
          <w:szCs w:val="32"/>
        </w:rPr>
        <w:t>荒漠站建站对接工作</w:t>
      </w:r>
      <w:r>
        <w:rPr>
          <w:rFonts w:hint="eastAsia" w:eastAsia="仿宋_GB2312" w:cs="仿宋_GB2312"/>
          <w:sz w:val="32"/>
          <w:szCs w:val="32"/>
        </w:rPr>
        <w:t>，接待费用0.13万元；</w:t>
      </w:r>
    </w:p>
    <w:p w14:paraId="7DF6EEBA">
      <w:pPr>
        <w:ind w:firstLine="640" w:firstLineChars="200"/>
        <w:rPr>
          <w:rFonts w:eastAsia="仿宋_GB2312" w:cs="仿宋_GB2312"/>
          <w:sz w:val="32"/>
          <w:szCs w:val="32"/>
        </w:rPr>
      </w:pPr>
      <w:r>
        <w:rPr>
          <w:rFonts w:eastAsia="仿宋_GB2312" w:cs="仿宋_GB2312"/>
          <w:sz w:val="32"/>
          <w:szCs w:val="32"/>
        </w:rPr>
        <w:t>农民日报和农业发展银行一行10人</w:t>
      </w:r>
      <w:r>
        <w:rPr>
          <w:rFonts w:hint="eastAsia" w:eastAsia="仿宋_GB2312" w:cs="仿宋_GB2312"/>
          <w:sz w:val="32"/>
          <w:szCs w:val="32"/>
        </w:rPr>
        <w:t>，</w:t>
      </w:r>
      <w:r>
        <w:rPr>
          <w:rFonts w:eastAsia="仿宋_GB2312" w:cs="仿宋_GB2312"/>
          <w:sz w:val="32"/>
          <w:szCs w:val="32"/>
        </w:rPr>
        <w:t>调研科技赋能特色产业发展情况</w:t>
      </w:r>
      <w:r>
        <w:rPr>
          <w:rFonts w:hint="eastAsia" w:eastAsia="仿宋_GB2312" w:cs="仿宋_GB2312"/>
          <w:sz w:val="32"/>
          <w:szCs w:val="32"/>
        </w:rPr>
        <w:t>，接待费用0.19万元；</w:t>
      </w:r>
    </w:p>
    <w:p w14:paraId="3EAB255D">
      <w:pPr>
        <w:ind w:firstLine="640" w:firstLineChars="200"/>
        <w:rPr>
          <w:rFonts w:eastAsia="仿宋_GB2312" w:cs="仿宋_GB2312"/>
          <w:sz w:val="32"/>
          <w:szCs w:val="32"/>
        </w:rPr>
      </w:pPr>
      <w:r>
        <w:rPr>
          <w:rFonts w:eastAsia="仿宋_GB2312" w:cs="仿宋_GB2312"/>
          <w:sz w:val="32"/>
          <w:szCs w:val="32"/>
        </w:rPr>
        <w:t>永仁县农业农村局组织维的乡乡村组干部及种植大户一行16人</w:t>
      </w:r>
      <w:r>
        <w:rPr>
          <w:rFonts w:hint="eastAsia" w:eastAsia="仿宋_GB2312" w:cs="仿宋_GB2312"/>
          <w:sz w:val="32"/>
          <w:szCs w:val="32"/>
        </w:rPr>
        <w:t>，</w:t>
      </w:r>
      <w:r>
        <w:rPr>
          <w:rFonts w:eastAsia="仿宋_GB2312" w:cs="仿宋_GB2312"/>
          <w:sz w:val="32"/>
          <w:szCs w:val="32"/>
        </w:rPr>
        <w:t>考察樱桃产业</w:t>
      </w:r>
      <w:r>
        <w:rPr>
          <w:rFonts w:hint="eastAsia" w:eastAsia="仿宋_GB2312" w:cs="仿宋_GB2312"/>
          <w:sz w:val="32"/>
          <w:szCs w:val="32"/>
        </w:rPr>
        <w:t>，接待费0.21万元；</w:t>
      </w:r>
    </w:p>
    <w:p w14:paraId="393F7136">
      <w:pPr>
        <w:ind w:firstLine="640" w:firstLineChars="200"/>
        <w:rPr>
          <w:rFonts w:eastAsia="仿宋_GB2312" w:cs="仿宋_GB2312"/>
          <w:sz w:val="32"/>
          <w:szCs w:val="32"/>
        </w:rPr>
      </w:pPr>
      <w:r>
        <w:rPr>
          <w:rFonts w:eastAsia="仿宋_GB2312" w:cs="仿宋_GB2312"/>
          <w:sz w:val="32"/>
          <w:szCs w:val="32"/>
        </w:rPr>
        <w:t>四川省食用菌研究所一行6人</w:t>
      </w:r>
      <w:r>
        <w:rPr>
          <w:rFonts w:hint="eastAsia" w:eastAsia="仿宋_GB2312" w:cs="仿宋_GB2312"/>
          <w:sz w:val="32"/>
          <w:szCs w:val="32"/>
        </w:rPr>
        <w:t>，开展</w:t>
      </w:r>
      <w:r>
        <w:rPr>
          <w:rFonts w:eastAsia="仿宋_GB2312" w:cs="仿宋_GB2312"/>
          <w:sz w:val="32"/>
          <w:szCs w:val="32"/>
        </w:rPr>
        <w:t>调研</w:t>
      </w:r>
      <w:r>
        <w:rPr>
          <w:rFonts w:hint="eastAsia" w:eastAsia="仿宋_GB2312" w:cs="仿宋_GB2312"/>
          <w:sz w:val="32"/>
          <w:szCs w:val="32"/>
        </w:rPr>
        <w:t>工作，接待费0.1万元；</w:t>
      </w:r>
    </w:p>
    <w:p w14:paraId="6C975280">
      <w:pPr>
        <w:ind w:firstLine="640" w:firstLineChars="200"/>
        <w:rPr>
          <w:rFonts w:eastAsia="仿宋_GB2312" w:cs="仿宋_GB2312"/>
          <w:sz w:val="32"/>
          <w:szCs w:val="32"/>
        </w:rPr>
      </w:pPr>
      <w:r>
        <w:rPr>
          <w:rFonts w:eastAsia="仿宋_GB2312" w:cs="仿宋_GB2312"/>
          <w:sz w:val="32"/>
          <w:szCs w:val="32"/>
        </w:rPr>
        <w:t>中国热带农业科学院环境与植物保护研究所一行8人</w:t>
      </w:r>
      <w:r>
        <w:rPr>
          <w:rFonts w:hint="eastAsia" w:eastAsia="仿宋_GB2312" w:cs="仿宋_GB2312"/>
          <w:sz w:val="32"/>
          <w:szCs w:val="32"/>
        </w:rPr>
        <w:t>，</w:t>
      </w:r>
      <w:r>
        <w:rPr>
          <w:rFonts w:eastAsia="仿宋_GB2312" w:cs="仿宋_GB2312"/>
          <w:sz w:val="32"/>
          <w:szCs w:val="32"/>
        </w:rPr>
        <w:t>调研攀枝花芒果产业</w:t>
      </w:r>
      <w:r>
        <w:rPr>
          <w:rFonts w:hint="eastAsia" w:eastAsia="仿宋_GB2312" w:cs="仿宋_GB2312"/>
          <w:sz w:val="32"/>
          <w:szCs w:val="32"/>
        </w:rPr>
        <w:t>，接待费0.12万元；</w:t>
      </w:r>
    </w:p>
    <w:p w14:paraId="63FC06C1">
      <w:pPr>
        <w:ind w:firstLine="640" w:firstLineChars="200"/>
        <w:rPr>
          <w:rFonts w:eastAsia="仿宋_GB2312" w:cs="仿宋_GB2312"/>
          <w:sz w:val="32"/>
          <w:szCs w:val="32"/>
        </w:rPr>
      </w:pPr>
      <w:r>
        <w:rPr>
          <w:rFonts w:eastAsia="仿宋_GB2312" w:cs="仿宋_GB2312"/>
          <w:sz w:val="32"/>
          <w:szCs w:val="32"/>
        </w:rPr>
        <w:t>四川省林业科学研究院一行6人</w:t>
      </w:r>
      <w:r>
        <w:rPr>
          <w:rFonts w:hint="eastAsia" w:eastAsia="仿宋_GB2312" w:cs="仿宋_GB2312"/>
          <w:sz w:val="32"/>
          <w:szCs w:val="32"/>
        </w:rPr>
        <w:t>，开展</w:t>
      </w:r>
      <w:r>
        <w:rPr>
          <w:rFonts w:eastAsia="仿宋_GB2312" w:cs="仿宋_GB2312"/>
          <w:sz w:val="32"/>
          <w:szCs w:val="32"/>
        </w:rPr>
        <w:t>攀枝花荒漠站建站对接工作</w:t>
      </w:r>
      <w:r>
        <w:rPr>
          <w:rFonts w:hint="eastAsia" w:eastAsia="仿宋_GB2312" w:cs="仿宋_GB2312"/>
          <w:sz w:val="32"/>
          <w:szCs w:val="32"/>
        </w:rPr>
        <w:t>，接待费0.06万元；</w:t>
      </w:r>
    </w:p>
    <w:p w14:paraId="72DCF58A">
      <w:pPr>
        <w:ind w:firstLine="640" w:firstLineChars="200"/>
        <w:rPr>
          <w:rFonts w:eastAsia="仿宋_GB2312" w:cs="仿宋_GB2312"/>
          <w:sz w:val="32"/>
          <w:szCs w:val="32"/>
        </w:rPr>
      </w:pPr>
      <w:r>
        <w:rPr>
          <w:rFonts w:eastAsia="仿宋_GB2312" w:cs="仿宋_GB2312"/>
          <w:sz w:val="32"/>
          <w:szCs w:val="32"/>
        </w:rPr>
        <w:t>中国热带农业科学院科技信息研究所一行4人</w:t>
      </w:r>
      <w:r>
        <w:rPr>
          <w:rFonts w:hint="eastAsia" w:eastAsia="仿宋_GB2312" w:cs="仿宋_GB2312"/>
          <w:sz w:val="32"/>
          <w:szCs w:val="32"/>
        </w:rPr>
        <w:t>，</w:t>
      </w:r>
      <w:r>
        <w:rPr>
          <w:rFonts w:eastAsia="仿宋_GB2312" w:cs="仿宋_GB2312"/>
          <w:sz w:val="32"/>
          <w:szCs w:val="32"/>
        </w:rPr>
        <w:t>开展芒果等热带特色农产品生产、加工贸易等相关情况调研</w:t>
      </w:r>
      <w:r>
        <w:rPr>
          <w:rFonts w:hint="eastAsia" w:eastAsia="仿宋_GB2312" w:cs="仿宋_GB2312"/>
          <w:sz w:val="32"/>
          <w:szCs w:val="32"/>
        </w:rPr>
        <w:t>工作，接待费0.04万元；</w:t>
      </w:r>
    </w:p>
    <w:p w14:paraId="68626DC8">
      <w:pPr>
        <w:ind w:firstLine="640" w:firstLineChars="200"/>
        <w:rPr>
          <w:rFonts w:eastAsia="仿宋_GB2312" w:cs="仿宋_GB2312"/>
          <w:sz w:val="32"/>
          <w:szCs w:val="32"/>
        </w:rPr>
      </w:pPr>
      <w:r>
        <w:rPr>
          <w:rFonts w:eastAsia="仿宋_GB2312" w:cs="仿宋_GB2312"/>
          <w:sz w:val="32"/>
          <w:szCs w:val="32"/>
        </w:rPr>
        <w:t>凉山州林业和草原局、凉山州林业草原科学研究院一行9人</w:t>
      </w:r>
      <w:r>
        <w:rPr>
          <w:rFonts w:hint="eastAsia" w:eastAsia="仿宋_GB2312" w:cs="仿宋_GB2312"/>
          <w:sz w:val="32"/>
          <w:szCs w:val="32"/>
        </w:rPr>
        <w:t>，</w:t>
      </w:r>
      <w:r>
        <w:rPr>
          <w:rFonts w:eastAsia="仿宋_GB2312" w:cs="仿宋_GB2312"/>
          <w:sz w:val="32"/>
          <w:szCs w:val="32"/>
        </w:rPr>
        <w:t>调研科研院所体制机制改革</w:t>
      </w:r>
      <w:r>
        <w:rPr>
          <w:rFonts w:hint="eastAsia" w:eastAsia="仿宋_GB2312" w:cs="仿宋_GB2312"/>
          <w:sz w:val="32"/>
          <w:szCs w:val="32"/>
        </w:rPr>
        <w:t>情况，接待费0.09万元；</w:t>
      </w:r>
    </w:p>
    <w:p w14:paraId="6C66AC97">
      <w:pPr>
        <w:ind w:firstLine="640" w:firstLineChars="200"/>
        <w:rPr>
          <w:rFonts w:eastAsia="仿宋_GB2312" w:cs="仿宋_GB2312"/>
          <w:sz w:val="32"/>
          <w:szCs w:val="32"/>
        </w:rPr>
      </w:pPr>
      <w:r>
        <w:rPr>
          <w:rFonts w:eastAsia="仿宋_GB2312" w:cs="仿宋_GB2312"/>
          <w:sz w:val="32"/>
          <w:szCs w:val="32"/>
        </w:rPr>
        <w:t>广西南亚</w:t>
      </w:r>
      <w:r>
        <w:rPr>
          <w:rFonts w:hint="eastAsia" w:eastAsia="仿宋_GB2312" w:cs="仿宋_GB2312"/>
          <w:sz w:val="32"/>
          <w:szCs w:val="32"/>
        </w:rPr>
        <w:t>热带农业科学研究</w:t>
      </w:r>
      <w:r>
        <w:rPr>
          <w:rFonts w:eastAsia="仿宋_GB2312" w:cs="仿宋_GB2312"/>
          <w:sz w:val="32"/>
          <w:szCs w:val="32"/>
        </w:rPr>
        <w:t>所一行9人</w:t>
      </w:r>
      <w:r>
        <w:rPr>
          <w:rFonts w:hint="eastAsia" w:eastAsia="仿宋_GB2312" w:cs="仿宋_GB2312"/>
          <w:sz w:val="32"/>
          <w:szCs w:val="32"/>
        </w:rPr>
        <w:t>，</w:t>
      </w:r>
      <w:r>
        <w:rPr>
          <w:rFonts w:eastAsia="仿宋_GB2312" w:cs="仿宋_GB2312"/>
          <w:sz w:val="32"/>
          <w:szCs w:val="32"/>
        </w:rPr>
        <w:t>考察特色果树研究情况</w:t>
      </w:r>
      <w:r>
        <w:rPr>
          <w:rFonts w:hint="eastAsia" w:eastAsia="仿宋_GB2312" w:cs="仿宋_GB2312"/>
          <w:sz w:val="32"/>
          <w:szCs w:val="32"/>
        </w:rPr>
        <w:t>，接待费0.12万元；</w:t>
      </w:r>
    </w:p>
    <w:p w14:paraId="14CB90C7">
      <w:pPr>
        <w:ind w:firstLine="640" w:firstLineChars="200"/>
        <w:rPr>
          <w:rFonts w:eastAsia="仿宋_GB2312" w:cs="仿宋_GB2312"/>
          <w:sz w:val="32"/>
          <w:szCs w:val="32"/>
        </w:rPr>
      </w:pPr>
      <w:r>
        <w:rPr>
          <w:rFonts w:hint="eastAsia" w:eastAsia="仿宋_GB2312" w:cs="仿宋_GB2312"/>
          <w:sz w:val="32"/>
          <w:szCs w:val="32"/>
        </w:rPr>
        <w:t>农业农村部国际合作司、中国热科院椰子所椰枣研究中心</w:t>
      </w:r>
      <w:r>
        <w:rPr>
          <w:rFonts w:eastAsia="仿宋_GB2312" w:cs="仿宋_GB2312"/>
          <w:sz w:val="32"/>
          <w:szCs w:val="32"/>
        </w:rPr>
        <w:t>一行11人</w:t>
      </w:r>
      <w:r>
        <w:rPr>
          <w:rFonts w:hint="eastAsia" w:eastAsia="仿宋_GB2312" w:cs="仿宋_GB2312"/>
          <w:sz w:val="32"/>
          <w:szCs w:val="32"/>
        </w:rPr>
        <w:t>，</w:t>
      </w:r>
      <w:r>
        <w:rPr>
          <w:rFonts w:eastAsia="仿宋_GB2312" w:cs="仿宋_GB2312"/>
          <w:sz w:val="32"/>
          <w:szCs w:val="32"/>
        </w:rPr>
        <w:t>开展椰枣种植活动</w:t>
      </w:r>
      <w:r>
        <w:rPr>
          <w:rFonts w:hint="eastAsia" w:eastAsia="仿宋_GB2312" w:cs="仿宋_GB2312"/>
          <w:sz w:val="32"/>
          <w:szCs w:val="32"/>
        </w:rPr>
        <w:t>，接待费0.24万元；</w:t>
      </w:r>
    </w:p>
    <w:p w14:paraId="38E83AD3">
      <w:pPr>
        <w:ind w:firstLine="640" w:firstLineChars="200"/>
        <w:rPr>
          <w:rFonts w:eastAsia="仿宋_GB2312" w:cs="仿宋_GB2312"/>
          <w:sz w:val="32"/>
          <w:szCs w:val="32"/>
        </w:rPr>
      </w:pPr>
      <w:r>
        <w:rPr>
          <w:rFonts w:eastAsia="仿宋_GB2312" w:cs="仿宋_GB2312"/>
          <w:sz w:val="32"/>
          <w:szCs w:val="32"/>
        </w:rPr>
        <w:t>云南省农业科学院热区生态农业研究所一行6人</w:t>
      </w:r>
      <w:r>
        <w:rPr>
          <w:rFonts w:hint="eastAsia" w:eastAsia="仿宋_GB2312" w:cs="仿宋_GB2312"/>
          <w:sz w:val="32"/>
          <w:szCs w:val="32"/>
        </w:rPr>
        <w:t>，</w:t>
      </w:r>
      <w:r>
        <w:rPr>
          <w:rFonts w:eastAsia="仿宋_GB2312" w:cs="仿宋_GB2312"/>
          <w:sz w:val="32"/>
          <w:szCs w:val="32"/>
        </w:rPr>
        <w:t>考察学习</w:t>
      </w:r>
      <w:r>
        <w:rPr>
          <w:rFonts w:hint="eastAsia" w:eastAsia="仿宋_GB2312" w:cs="仿宋_GB2312"/>
          <w:sz w:val="32"/>
          <w:szCs w:val="32"/>
        </w:rPr>
        <w:t>，接待费0.09万元；</w:t>
      </w:r>
    </w:p>
    <w:p w14:paraId="2D2B8A6F">
      <w:pPr>
        <w:ind w:firstLine="640" w:firstLineChars="200"/>
        <w:rPr>
          <w:rFonts w:eastAsia="仿宋_GB2312" w:cs="仿宋_GB2312"/>
          <w:sz w:val="32"/>
          <w:szCs w:val="32"/>
        </w:rPr>
      </w:pPr>
      <w:r>
        <w:rPr>
          <w:rFonts w:eastAsia="仿宋_GB2312" w:cs="仿宋_GB2312"/>
          <w:sz w:val="32"/>
          <w:szCs w:val="32"/>
        </w:rPr>
        <w:t>农业农村部南亚热带作物中心一行9人</w:t>
      </w:r>
      <w:r>
        <w:rPr>
          <w:rFonts w:hint="eastAsia" w:eastAsia="仿宋_GB2312" w:cs="仿宋_GB2312"/>
          <w:sz w:val="32"/>
          <w:szCs w:val="32"/>
        </w:rPr>
        <w:t>，</w:t>
      </w:r>
      <w:r>
        <w:rPr>
          <w:rFonts w:eastAsia="仿宋_GB2312" w:cs="仿宋_GB2312"/>
          <w:sz w:val="32"/>
          <w:szCs w:val="32"/>
        </w:rPr>
        <w:t>开展热带作物绿色高效生产调研</w:t>
      </w:r>
      <w:r>
        <w:rPr>
          <w:rFonts w:hint="eastAsia" w:eastAsia="仿宋_GB2312" w:cs="仿宋_GB2312"/>
          <w:sz w:val="32"/>
          <w:szCs w:val="32"/>
        </w:rPr>
        <w:t>工作，接待费0.11万元；</w:t>
      </w:r>
    </w:p>
    <w:p w14:paraId="55AC1870">
      <w:pPr>
        <w:ind w:firstLine="640" w:firstLineChars="200"/>
        <w:rPr>
          <w:rFonts w:eastAsia="仿宋_GB2312" w:cs="仿宋_GB2312"/>
          <w:sz w:val="32"/>
          <w:szCs w:val="32"/>
        </w:rPr>
      </w:pPr>
      <w:r>
        <w:rPr>
          <w:rFonts w:eastAsia="仿宋_GB2312" w:cs="仿宋_GB2312"/>
          <w:sz w:val="32"/>
          <w:szCs w:val="32"/>
        </w:rPr>
        <w:t>中国科学院成都生物研究所一行5人</w:t>
      </w:r>
      <w:r>
        <w:rPr>
          <w:rFonts w:hint="eastAsia" w:eastAsia="仿宋_GB2312" w:cs="仿宋_GB2312"/>
          <w:sz w:val="32"/>
          <w:szCs w:val="32"/>
        </w:rPr>
        <w:t>，</w:t>
      </w:r>
      <w:r>
        <w:rPr>
          <w:rFonts w:eastAsia="仿宋_GB2312" w:cs="仿宋_GB2312"/>
          <w:sz w:val="32"/>
          <w:szCs w:val="32"/>
        </w:rPr>
        <w:t>调研块菌（松露）种植培育</w:t>
      </w:r>
      <w:r>
        <w:rPr>
          <w:rFonts w:hint="eastAsia" w:eastAsia="仿宋_GB2312" w:cs="仿宋_GB2312"/>
          <w:sz w:val="32"/>
          <w:szCs w:val="32"/>
        </w:rPr>
        <w:t>，接待费0.06万元。</w:t>
      </w:r>
    </w:p>
    <w:p w14:paraId="2346A760">
      <w:pPr>
        <w:spacing w:line="600" w:lineRule="exact"/>
        <w:ind w:firstLine="640"/>
        <w:rPr>
          <w:rFonts w:eastAsia="仿宋_GB2312" w:cs="仿宋_GB2312"/>
          <w:sz w:val="32"/>
          <w:szCs w:val="32"/>
        </w:rPr>
      </w:pPr>
      <w:r>
        <w:rPr>
          <w:rFonts w:hint="eastAsia" w:eastAsia="仿宋_GB2312" w:cs="仿宋_GB2312"/>
          <w:sz w:val="32"/>
          <w:szCs w:val="32"/>
        </w:rPr>
        <w:t>外事接待支出0万元。外事接待0批次，0人次（不包括陪同人员），共计支出0万元。</w:t>
      </w:r>
      <w:bookmarkStart w:id="51" w:name="_Toc15396610"/>
      <w:bookmarkStart w:id="52" w:name="_Toc15377218"/>
    </w:p>
    <w:p w14:paraId="5FE8EF10">
      <w:pPr>
        <w:spacing w:line="600" w:lineRule="exact"/>
        <w:ind w:firstLine="640"/>
        <w:outlineLvl w:val="1"/>
        <w:rPr>
          <w:rStyle w:val="32"/>
          <w:rFonts w:ascii="Times New Roman" w:hAnsi="Times New Roman" w:eastAsia="黑体"/>
        </w:rPr>
      </w:pPr>
      <w:bookmarkStart w:id="53" w:name="_Toc239752580"/>
      <w:r>
        <w:rPr>
          <w:rFonts w:hint="eastAsia" w:eastAsia="黑体"/>
          <w:sz w:val="32"/>
          <w:szCs w:val="32"/>
        </w:rPr>
        <w:t>八、</w:t>
      </w:r>
      <w:r>
        <w:rPr>
          <w:rStyle w:val="32"/>
          <w:rFonts w:hint="eastAsia" w:ascii="Times New Roman" w:hAnsi="Times New Roman" w:eastAsia="黑体"/>
          <w:b w:val="0"/>
        </w:rPr>
        <w:t>政府性基金预算支出决算情况说明</w:t>
      </w:r>
      <w:bookmarkEnd w:id="51"/>
      <w:bookmarkEnd w:id="52"/>
      <w:bookmarkEnd w:id="53"/>
    </w:p>
    <w:p w14:paraId="31E18F72">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2025年度政府性基金预算财政拨款支出0万元，占本年支出合计的0%。与上年度相比，政府性基金预算财政拨款支出减少2.88万元，下降100%。主要变动原因是本年度未申报符合政府性基金预算支出的项目。</w:t>
      </w:r>
    </w:p>
    <w:p w14:paraId="610FCFDC">
      <w:pPr>
        <w:spacing w:line="600" w:lineRule="exact"/>
        <w:ind w:left="630"/>
        <w:outlineLvl w:val="1"/>
        <w:rPr>
          <w:rStyle w:val="32"/>
          <w:rFonts w:ascii="Times New Roman" w:hAnsi="Times New Roman" w:eastAsia="黑体"/>
          <w:b w:val="0"/>
        </w:rPr>
      </w:pPr>
      <w:bookmarkStart w:id="54" w:name="_Toc15396611"/>
      <w:bookmarkStart w:id="55" w:name="_Toc239752581"/>
      <w:bookmarkStart w:id="56" w:name="_Toc15377219"/>
      <w:r>
        <w:rPr>
          <w:rStyle w:val="32"/>
          <w:rFonts w:hint="eastAsia" w:ascii="Times New Roman" w:hAnsi="Times New Roman" w:eastAsia="黑体"/>
          <w:b w:val="0"/>
        </w:rPr>
        <w:t>九、国有资本经营预算支出决算情况说明</w:t>
      </w:r>
      <w:bookmarkEnd w:id="54"/>
      <w:bookmarkEnd w:id="55"/>
      <w:bookmarkEnd w:id="56"/>
    </w:p>
    <w:p w14:paraId="094BA747">
      <w:pPr>
        <w:spacing w:line="600" w:lineRule="exact"/>
        <w:ind w:firstLine="640"/>
        <w:rPr>
          <w:rFonts w:eastAsia="仿宋_GB2312" w:cs="仿宋_GB2312"/>
          <w:color w:val="FF0000"/>
          <w:sz w:val="32"/>
          <w:szCs w:val="32"/>
        </w:rPr>
      </w:pPr>
      <w:r>
        <w:rPr>
          <w:rFonts w:hint="eastAsia" w:eastAsia="仿宋_GB2312" w:cs="仿宋_GB2312"/>
          <w:sz w:val="32"/>
          <w:szCs w:val="32"/>
        </w:rPr>
        <w:t>2025年度国有资本经营预算财政拨款支出0万元，占本年支出合计的0%。</w:t>
      </w:r>
      <w:r>
        <w:rPr>
          <w:rFonts w:eastAsia="仿宋_GB2312" w:cs="仿宋_GB2312"/>
          <w:sz w:val="32"/>
          <w:szCs w:val="32"/>
        </w:rPr>
        <w:t>与</w:t>
      </w:r>
      <w:r>
        <w:rPr>
          <w:rFonts w:hint="eastAsia" w:eastAsia="仿宋_GB2312" w:cs="仿宋_GB2312"/>
          <w:sz w:val="32"/>
          <w:szCs w:val="32"/>
        </w:rPr>
        <w:t>上年度</w:t>
      </w:r>
      <w:r>
        <w:rPr>
          <w:rFonts w:eastAsia="仿宋_GB2312" w:cs="仿宋_GB2312"/>
          <w:sz w:val="32"/>
          <w:szCs w:val="32"/>
        </w:rPr>
        <w:t>决算数持平</w:t>
      </w:r>
      <w:r>
        <w:rPr>
          <w:rFonts w:hint="eastAsia" w:eastAsia="仿宋_GB2312" w:cs="仿宋_GB2312"/>
          <w:sz w:val="32"/>
          <w:szCs w:val="32"/>
        </w:rPr>
        <w:t>。</w:t>
      </w:r>
    </w:p>
    <w:p w14:paraId="7FB2CD70">
      <w:pPr>
        <w:spacing w:line="600" w:lineRule="exact"/>
        <w:ind w:left="630"/>
        <w:outlineLvl w:val="1"/>
        <w:rPr>
          <w:rStyle w:val="32"/>
          <w:rFonts w:ascii="Times New Roman" w:hAnsi="Times New Roman" w:eastAsia="黑体"/>
          <w:b w:val="0"/>
        </w:rPr>
      </w:pPr>
      <w:bookmarkStart w:id="57" w:name="_Toc15396612"/>
      <w:bookmarkStart w:id="58" w:name="_Toc239752582"/>
      <w:bookmarkStart w:id="59" w:name="_Toc15377221"/>
      <w:r>
        <w:rPr>
          <w:rStyle w:val="32"/>
          <w:rFonts w:hint="eastAsia" w:ascii="Times New Roman" w:hAnsi="Times New Roman" w:eastAsia="黑体"/>
          <w:b w:val="0"/>
        </w:rPr>
        <w:t>十、其他重要事项的情况说明</w:t>
      </w:r>
      <w:bookmarkEnd w:id="57"/>
      <w:bookmarkEnd w:id="58"/>
      <w:bookmarkEnd w:id="59"/>
    </w:p>
    <w:p w14:paraId="53864F59">
      <w:pPr>
        <w:spacing w:line="600" w:lineRule="exact"/>
        <w:ind w:firstLine="643" w:firstLineChars="200"/>
        <w:outlineLvl w:val="2"/>
        <w:rPr>
          <w:rFonts w:eastAsia="楷体_GB2312" w:cs="楷体_GB2312"/>
          <w:b/>
          <w:sz w:val="32"/>
          <w:szCs w:val="32"/>
        </w:rPr>
      </w:pPr>
      <w:bookmarkStart w:id="60" w:name="_Toc15377222"/>
      <w:bookmarkStart w:id="61" w:name="_Toc239752583"/>
      <w:r>
        <w:rPr>
          <w:rFonts w:hint="eastAsia" w:eastAsia="楷体_GB2312" w:cs="楷体_GB2312"/>
          <w:b/>
          <w:sz w:val="32"/>
          <w:szCs w:val="32"/>
        </w:rPr>
        <w:t>（一）机关运行经费支出情况</w:t>
      </w:r>
      <w:bookmarkEnd w:id="60"/>
      <w:bookmarkEnd w:id="61"/>
    </w:p>
    <w:p w14:paraId="22B272B9">
      <w:pPr>
        <w:spacing w:line="600" w:lineRule="exact"/>
        <w:ind w:firstLine="640"/>
        <w:rPr>
          <w:rFonts w:eastAsia="方正仿宋_GBK" w:cs="仿宋_GB2312"/>
          <w:sz w:val="32"/>
          <w:szCs w:val="32"/>
        </w:rPr>
      </w:pPr>
      <w:r>
        <w:rPr>
          <w:rFonts w:hint="eastAsia" w:eastAsia="仿宋_GB2312" w:cs="仿宋_GB2312"/>
          <w:sz w:val="32"/>
          <w:szCs w:val="32"/>
        </w:rPr>
        <w:t>2025年度，市农林科学院机关运行经费支出0万元，</w:t>
      </w:r>
      <w:r>
        <w:rPr>
          <w:rFonts w:eastAsia="仿宋_GB2312" w:cs="仿宋_GB2312"/>
          <w:sz w:val="32"/>
          <w:szCs w:val="32"/>
        </w:rPr>
        <w:t>与</w:t>
      </w:r>
      <w:r>
        <w:rPr>
          <w:rFonts w:hint="eastAsia" w:eastAsia="仿宋_GB2312" w:cs="仿宋_GB2312"/>
          <w:sz w:val="32"/>
          <w:szCs w:val="32"/>
        </w:rPr>
        <w:t>上年度</w:t>
      </w:r>
      <w:r>
        <w:rPr>
          <w:rFonts w:eastAsia="仿宋_GB2312" w:cs="仿宋_GB2312"/>
          <w:sz w:val="32"/>
          <w:szCs w:val="32"/>
        </w:rPr>
        <w:t>决算数持平</w:t>
      </w:r>
      <w:r>
        <w:rPr>
          <w:rFonts w:hint="eastAsia" w:eastAsia="仿宋_GB2312" w:cs="仿宋_GB2312"/>
          <w:sz w:val="32"/>
          <w:szCs w:val="32"/>
        </w:rPr>
        <w:t>。</w:t>
      </w:r>
    </w:p>
    <w:p w14:paraId="76C71123">
      <w:pPr>
        <w:spacing w:line="600" w:lineRule="exact"/>
        <w:ind w:firstLine="643" w:firstLineChars="200"/>
        <w:outlineLvl w:val="2"/>
        <w:rPr>
          <w:rFonts w:eastAsia="楷体_GB2312" w:cs="楷体_GB2312"/>
          <w:b/>
          <w:sz w:val="32"/>
          <w:szCs w:val="32"/>
        </w:rPr>
      </w:pPr>
      <w:bookmarkStart w:id="62" w:name="_Toc239752584"/>
      <w:bookmarkStart w:id="63" w:name="_Toc15377223"/>
      <w:r>
        <w:rPr>
          <w:rFonts w:hint="eastAsia" w:eastAsia="楷体_GB2312" w:cs="楷体_GB2312"/>
          <w:b/>
          <w:sz w:val="32"/>
          <w:szCs w:val="32"/>
        </w:rPr>
        <w:t>（二）政府采购支出情况</w:t>
      </w:r>
      <w:bookmarkEnd w:id="62"/>
      <w:bookmarkEnd w:id="63"/>
    </w:p>
    <w:p w14:paraId="127F09B3">
      <w:pPr>
        <w:spacing w:line="600" w:lineRule="exact"/>
        <w:ind w:firstLine="640"/>
        <w:rPr>
          <w:rFonts w:eastAsia="仿宋_GB2312" w:cs="仿宋_GB2312"/>
          <w:sz w:val="32"/>
          <w:szCs w:val="32"/>
        </w:rPr>
      </w:pPr>
      <w:r>
        <w:rPr>
          <w:rFonts w:hint="eastAsia" w:eastAsia="仿宋_GB2312" w:cs="仿宋_GB2312"/>
          <w:sz w:val="32"/>
          <w:szCs w:val="32"/>
        </w:rPr>
        <w:t>2025年度，市农林科学院政府采购支出总额30.3万元，其中：政府采购货物支出5.81万元、政府采购工程支出0万元、政府采购服务支出24.49万元。</w:t>
      </w:r>
      <w:r>
        <w:rPr>
          <w:rFonts w:eastAsia="仿宋_GB2312" w:cs="仿宋_GB2312"/>
          <w:sz w:val="32"/>
          <w:szCs w:val="32"/>
        </w:rPr>
        <w:t>主要用于单位公务用车加油</w:t>
      </w:r>
      <w:r>
        <w:rPr>
          <w:rFonts w:hint="eastAsia" w:eastAsia="仿宋_GB2312" w:cs="仿宋_GB2312"/>
          <w:sz w:val="32"/>
          <w:szCs w:val="32"/>
        </w:rPr>
        <w:t>、</w:t>
      </w:r>
      <w:r>
        <w:rPr>
          <w:rFonts w:eastAsia="仿宋_GB2312" w:cs="仿宋_GB2312"/>
          <w:sz w:val="32"/>
          <w:szCs w:val="32"/>
        </w:rPr>
        <w:t>维修</w:t>
      </w:r>
      <w:r>
        <w:rPr>
          <w:rFonts w:hint="eastAsia" w:eastAsia="仿宋_GB2312" w:cs="仿宋_GB2312"/>
          <w:sz w:val="32"/>
          <w:szCs w:val="32"/>
        </w:rPr>
        <w:t>、保险及购置办公设备</w:t>
      </w:r>
      <w:r>
        <w:rPr>
          <w:rFonts w:eastAsia="仿宋_GB2312" w:cs="仿宋_GB2312"/>
          <w:sz w:val="32"/>
          <w:szCs w:val="32"/>
        </w:rPr>
        <w:t>。</w:t>
      </w:r>
      <w:r>
        <w:rPr>
          <w:rFonts w:hint="eastAsia" w:eastAsia="仿宋_GB2312" w:cs="仿宋_GB2312"/>
          <w:sz w:val="32"/>
          <w:szCs w:val="32"/>
        </w:rPr>
        <w:t>授予中小企业合同金额28.57万元，占政府采购支出总额的94.29%，其中：授予小微企业合同金额26.57万元，占政府采购支出总额的87.69%。</w:t>
      </w:r>
    </w:p>
    <w:p w14:paraId="36F72F93">
      <w:pPr>
        <w:spacing w:line="600" w:lineRule="exact"/>
        <w:ind w:firstLine="643" w:firstLineChars="200"/>
        <w:outlineLvl w:val="2"/>
        <w:rPr>
          <w:rFonts w:eastAsia="楷体_GB2312" w:cs="楷体_GB2312"/>
          <w:b/>
          <w:sz w:val="32"/>
          <w:szCs w:val="32"/>
        </w:rPr>
      </w:pPr>
      <w:bookmarkStart w:id="64" w:name="_Toc239752585"/>
      <w:bookmarkStart w:id="65" w:name="_Toc15377224"/>
      <w:r>
        <w:rPr>
          <w:rFonts w:hint="eastAsia" w:eastAsia="楷体_GB2312" w:cs="楷体_GB2312"/>
          <w:b/>
          <w:sz w:val="32"/>
          <w:szCs w:val="32"/>
        </w:rPr>
        <w:t>（三）国有资产占有使用情况</w:t>
      </w:r>
      <w:bookmarkEnd w:id="64"/>
      <w:bookmarkEnd w:id="65"/>
    </w:p>
    <w:p w14:paraId="2621C4F0">
      <w:pPr>
        <w:spacing w:line="600" w:lineRule="exact"/>
        <w:ind w:firstLine="640"/>
        <w:rPr>
          <w:rFonts w:eastAsia="仿宋_GB2312" w:cs="仿宋_GB2312"/>
          <w:sz w:val="32"/>
          <w:szCs w:val="32"/>
        </w:rPr>
      </w:pPr>
      <w:r>
        <w:rPr>
          <w:rFonts w:eastAsia="仿宋_GB2312" w:cs="仿宋_GB2312"/>
          <w:sz w:val="32"/>
          <w:szCs w:val="32"/>
        </w:rPr>
        <w:t>截至202</w:t>
      </w:r>
      <w:r>
        <w:rPr>
          <w:rFonts w:hint="eastAsia" w:eastAsia="仿宋_GB2312" w:cs="仿宋_GB2312"/>
          <w:sz w:val="32"/>
          <w:szCs w:val="32"/>
        </w:rPr>
        <w:t>5</w:t>
      </w:r>
      <w:r>
        <w:rPr>
          <w:rFonts w:eastAsia="仿宋_GB2312" w:cs="仿宋_GB2312"/>
          <w:sz w:val="32"/>
          <w:szCs w:val="32"/>
        </w:rPr>
        <w:t>年12月31日，</w:t>
      </w:r>
      <w:r>
        <w:rPr>
          <w:rFonts w:hint="eastAsia" w:eastAsia="仿宋_GB2312" w:cs="仿宋_GB2312"/>
          <w:sz w:val="32"/>
          <w:szCs w:val="32"/>
        </w:rPr>
        <w:t>市农林科学院</w:t>
      </w:r>
      <w:r>
        <w:rPr>
          <w:rFonts w:eastAsia="仿宋_GB2312" w:cs="仿宋_GB2312"/>
          <w:sz w:val="32"/>
          <w:szCs w:val="32"/>
        </w:rPr>
        <w:t>共有车辆10辆，其中：</w:t>
      </w:r>
      <w:r>
        <w:rPr>
          <w:rFonts w:hint="eastAsia" w:eastAsia="仿宋_GB2312" w:cs="仿宋_GB2312"/>
          <w:sz w:val="32"/>
          <w:szCs w:val="32"/>
        </w:rPr>
        <w:t>副部（省）级及以上领导用车0辆、</w:t>
      </w:r>
      <w:r>
        <w:rPr>
          <w:rFonts w:eastAsia="仿宋_GB2312" w:cs="仿宋_GB2312"/>
          <w:sz w:val="32"/>
          <w:szCs w:val="32"/>
        </w:rPr>
        <w:t>主要负责人用车</w:t>
      </w:r>
      <w:r>
        <w:rPr>
          <w:rFonts w:hint="eastAsia" w:eastAsia="仿宋_GB2312" w:cs="仿宋_GB2312"/>
          <w:sz w:val="32"/>
          <w:szCs w:val="32"/>
        </w:rPr>
        <w:t>1</w:t>
      </w:r>
      <w:r>
        <w:rPr>
          <w:rFonts w:eastAsia="仿宋_GB2312" w:cs="仿宋_GB2312"/>
          <w:sz w:val="32"/>
          <w:szCs w:val="32"/>
        </w:rPr>
        <w:t>辆、机要通信用车0辆、应急保障用车1辆、</w:t>
      </w:r>
      <w:r>
        <w:rPr>
          <w:rFonts w:hint="eastAsia" w:eastAsia="仿宋_GB2312" w:cs="仿宋_GB2312"/>
          <w:sz w:val="32"/>
          <w:szCs w:val="32"/>
        </w:rPr>
        <w:t>执法执勤用车0辆、</w:t>
      </w:r>
      <w:r>
        <w:rPr>
          <w:rFonts w:eastAsia="仿宋_GB2312" w:cs="仿宋_GB2312"/>
          <w:sz w:val="32"/>
          <w:szCs w:val="32"/>
        </w:rPr>
        <w:t>特种专业技术用车2辆、</w:t>
      </w:r>
      <w:r>
        <w:rPr>
          <w:rFonts w:hint="eastAsia" w:eastAsia="仿宋_GB2312" w:cs="仿宋_GB2312"/>
          <w:sz w:val="32"/>
          <w:szCs w:val="32"/>
        </w:rPr>
        <w:t>离退休干部服务用车0辆、</w:t>
      </w:r>
      <w:r>
        <w:rPr>
          <w:rFonts w:eastAsia="仿宋_GB2312" w:cs="仿宋_GB2312"/>
          <w:sz w:val="32"/>
          <w:szCs w:val="32"/>
        </w:rPr>
        <w:t>其他用车</w:t>
      </w:r>
      <w:r>
        <w:rPr>
          <w:rFonts w:hint="eastAsia" w:eastAsia="仿宋_GB2312" w:cs="仿宋_GB2312"/>
          <w:sz w:val="32"/>
          <w:szCs w:val="32"/>
        </w:rPr>
        <w:t>6</w:t>
      </w:r>
      <w:r>
        <w:rPr>
          <w:rFonts w:eastAsia="仿宋_GB2312" w:cs="仿宋_GB2312"/>
          <w:sz w:val="32"/>
          <w:szCs w:val="32"/>
        </w:rPr>
        <w:t>辆，其他用车主要是用于科研下乡业务活动。单价100万元（含）以上设备（不含车辆）0台（套）。</w:t>
      </w:r>
    </w:p>
    <w:p w14:paraId="51E29201">
      <w:pPr>
        <w:spacing w:line="600" w:lineRule="exact"/>
        <w:ind w:firstLine="643" w:firstLineChars="200"/>
        <w:outlineLvl w:val="2"/>
        <w:rPr>
          <w:rFonts w:eastAsia="楷体_GB2312" w:cs="楷体_GB2312"/>
          <w:b/>
          <w:sz w:val="32"/>
          <w:szCs w:val="32"/>
        </w:rPr>
      </w:pPr>
      <w:bookmarkStart w:id="66" w:name="_Toc239752586"/>
      <w:r>
        <w:rPr>
          <w:rFonts w:hint="eastAsia" w:eastAsia="楷体_GB2312" w:cs="楷体_GB2312"/>
          <w:b/>
          <w:sz w:val="32"/>
          <w:szCs w:val="32"/>
        </w:rPr>
        <w:t>（四）预算绩效管理情况</w:t>
      </w:r>
      <w:bookmarkEnd w:id="66"/>
    </w:p>
    <w:p w14:paraId="11E7C71A">
      <w:pPr>
        <w:spacing w:line="600" w:lineRule="exact"/>
        <w:ind w:firstLine="640"/>
        <w:rPr>
          <w:rFonts w:eastAsia="仿宋_GB2312" w:cs="仿宋_GB2312"/>
          <w:sz w:val="32"/>
          <w:szCs w:val="32"/>
        </w:rPr>
      </w:pPr>
      <w:r>
        <w:rPr>
          <w:rFonts w:hint="eastAsia" w:eastAsia="仿宋_GB2312" w:cs="仿宋_GB2312"/>
          <w:sz w:val="32"/>
          <w:szCs w:val="32"/>
        </w:rPr>
        <w:t>根据预算绩效管理要求，本部门在2025年度，组织对国家现代农业产业技术体系四川创新团队建设专项资金等18个项目涉及金额801.09万元开展了事前绩效评估，对</w:t>
      </w:r>
      <w:r>
        <w:rPr>
          <w:rFonts w:eastAsia="仿宋_GB2312" w:cs="仿宋_GB2312"/>
          <w:sz w:val="32"/>
          <w:szCs w:val="32"/>
        </w:rPr>
        <w:t>1</w:t>
      </w:r>
      <w:r>
        <w:rPr>
          <w:rFonts w:hint="eastAsia" w:eastAsia="仿宋_GB2312" w:cs="仿宋_GB2312"/>
          <w:sz w:val="32"/>
          <w:szCs w:val="32"/>
        </w:rPr>
        <w:t>8个项目编制了绩效目标，预算执行过程中，选取</w:t>
      </w:r>
      <w:r>
        <w:rPr>
          <w:rFonts w:eastAsia="仿宋_GB2312" w:cs="仿宋_GB2312"/>
          <w:sz w:val="32"/>
          <w:szCs w:val="32"/>
        </w:rPr>
        <w:t>1</w:t>
      </w:r>
      <w:r>
        <w:rPr>
          <w:rFonts w:hint="eastAsia" w:eastAsia="仿宋_GB2312" w:cs="仿宋_GB2312"/>
          <w:sz w:val="32"/>
          <w:szCs w:val="32"/>
        </w:rPr>
        <w:t>8个项目开展绩效监控。</w:t>
      </w:r>
    </w:p>
    <w:p w14:paraId="5B665177">
      <w:pPr>
        <w:spacing w:line="600" w:lineRule="exact"/>
        <w:ind w:firstLine="640"/>
        <w:rPr>
          <w:rFonts w:eastAsia="仿宋_GB2312" w:cs="仿宋_GB2312"/>
          <w:sz w:val="32"/>
          <w:szCs w:val="32"/>
        </w:rPr>
      </w:pPr>
      <w:r>
        <w:rPr>
          <w:rFonts w:hint="eastAsia" w:eastAsia="仿宋_GB2312" w:cs="仿宋_GB2312"/>
          <w:sz w:val="32"/>
          <w:szCs w:val="32"/>
        </w:rPr>
        <w:t>组织对2025年度一般公共预算、政府性基金预算、国有资本经营预算、社会保险基金预算以及资本资产、债券资金等全面开展绩效自评，形成</w:t>
      </w:r>
      <w:bookmarkStart w:id="67" w:name="OLE_LINK2"/>
      <w:bookmarkStart w:id="68" w:name="OLE_LINK1"/>
      <w:r>
        <w:rPr>
          <w:rFonts w:hint="eastAsia" w:eastAsia="仿宋_GB2312" w:cs="仿宋_GB2312"/>
          <w:sz w:val="32"/>
          <w:szCs w:val="32"/>
        </w:rPr>
        <w:t>市农林科学院</w:t>
      </w:r>
      <w:bookmarkEnd w:id="67"/>
      <w:bookmarkEnd w:id="68"/>
      <w:r>
        <w:rPr>
          <w:rFonts w:hint="eastAsia" w:eastAsia="仿宋_GB2312" w:cs="仿宋_GB2312"/>
          <w:sz w:val="32"/>
          <w:szCs w:val="32"/>
        </w:rPr>
        <w:t>部门预算（含部门预算项目）绩效自评报告、国家现代农业产业技术体系四川创新团队建设专项资金等专项预算项目绩效自评报告，其中，市农林科学院部门预算（含部门预算项目）绩效自评得分为8</w:t>
      </w:r>
      <w:r>
        <w:rPr>
          <w:rFonts w:eastAsia="仿宋_GB2312" w:cs="仿宋_GB2312"/>
          <w:sz w:val="32"/>
          <w:szCs w:val="32"/>
        </w:rPr>
        <w:t>9.89</w:t>
      </w:r>
      <w:r>
        <w:rPr>
          <w:rFonts w:hint="eastAsia" w:eastAsia="仿宋_GB2312" w:cs="仿宋_GB2312"/>
          <w:sz w:val="32"/>
          <w:szCs w:val="32"/>
        </w:rPr>
        <w:t>分，绩效自评综述：2</w:t>
      </w:r>
      <w:r>
        <w:rPr>
          <w:rFonts w:eastAsia="仿宋_GB2312" w:cs="仿宋_GB2312"/>
          <w:sz w:val="32"/>
          <w:szCs w:val="32"/>
        </w:rPr>
        <w:t>025年</w:t>
      </w:r>
      <w:r>
        <w:rPr>
          <w:rFonts w:hint="eastAsia" w:eastAsia="仿宋_GB2312" w:cs="仿宋_GB2312"/>
          <w:sz w:val="32"/>
          <w:szCs w:val="32"/>
        </w:rPr>
        <w:t>度</w:t>
      </w:r>
      <w:r>
        <w:rPr>
          <w:rFonts w:eastAsia="仿宋_GB2312" w:cs="仿宋_GB2312"/>
          <w:sz w:val="32"/>
          <w:szCs w:val="32"/>
        </w:rPr>
        <w:t>我部门预算编制及时、准确、高质，预算执行情况良好，支出管理规范，未出现因违规支出受到相关监督部门批评或处理的情况；资金管理制度较为完善，会计核算和账务处理规范，会计资料真实、完整。</w:t>
      </w:r>
    </w:p>
    <w:p w14:paraId="7F1AA26D">
      <w:pPr>
        <w:spacing w:line="600" w:lineRule="exact"/>
        <w:ind w:firstLine="640"/>
        <w:rPr>
          <w:rFonts w:eastAsia="仿宋_GB2312" w:cs="仿宋_GB2312"/>
          <w:sz w:val="32"/>
          <w:szCs w:val="32"/>
        </w:rPr>
      </w:pPr>
      <w:r>
        <w:rPr>
          <w:rFonts w:hint="eastAsia" w:eastAsia="仿宋_GB2312" w:cs="仿宋_GB2312"/>
          <w:sz w:val="32"/>
          <w:szCs w:val="32"/>
        </w:rPr>
        <w:t>生态功能区转移支付项目专项资金专项预算项目绩效自评得分为</w:t>
      </w:r>
      <w:r>
        <w:rPr>
          <w:rFonts w:eastAsia="仿宋_GB2312" w:cs="仿宋_GB2312"/>
          <w:sz w:val="32"/>
          <w:szCs w:val="32"/>
        </w:rPr>
        <w:t>100</w:t>
      </w:r>
      <w:r>
        <w:rPr>
          <w:rFonts w:hint="eastAsia" w:eastAsia="仿宋_GB2312" w:cs="仿宋_GB2312"/>
          <w:sz w:val="32"/>
          <w:szCs w:val="32"/>
        </w:rPr>
        <w:t>分，绩效自评综述：本项目根据绩效目标，制定详细的实施方案；单位学术委员会以及科技科对项目全程进行监督检查，组织验收等；具有健全的财务制度，财务科对项目经费的支出进行审核；项目立项依据充分，符合国家、省、市相关政策；详细的产出和效果能满足需求。</w:t>
      </w:r>
    </w:p>
    <w:p w14:paraId="46599C76">
      <w:pPr>
        <w:spacing w:line="600" w:lineRule="exact"/>
        <w:ind w:firstLine="640"/>
        <w:rPr>
          <w:rFonts w:eastAsia="仿宋_GB2312" w:cs="仿宋_GB2312"/>
          <w:sz w:val="32"/>
          <w:szCs w:val="32"/>
        </w:rPr>
      </w:pPr>
      <w:r>
        <w:rPr>
          <w:rFonts w:hint="eastAsia" w:eastAsia="仿宋_GB2312" w:cs="仿宋_GB2312"/>
          <w:sz w:val="32"/>
          <w:szCs w:val="32"/>
        </w:rPr>
        <w:t>乡村人才振兴五年行动专项资金（科技下乡万里行）专项资金专项预算项目绩效自评得分为</w:t>
      </w:r>
      <w:r>
        <w:rPr>
          <w:rFonts w:eastAsia="仿宋_GB2312" w:cs="仿宋_GB2312"/>
          <w:sz w:val="32"/>
          <w:szCs w:val="32"/>
        </w:rPr>
        <w:t>98.12</w:t>
      </w:r>
      <w:r>
        <w:rPr>
          <w:rFonts w:hint="eastAsia" w:eastAsia="仿宋_GB2312" w:cs="仿宋_GB2312"/>
          <w:sz w:val="32"/>
          <w:szCs w:val="32"/>
        </w:rPr>
        <w:t>分，绩效自评综述：2025年度，在省农业农村厅的指导和首席专家的带领下，通过全体团员的共同努力，“科技下乡万里行”芒果产业技术服务44团紧密围绕提升攀枝花市三区两县（盐边县、米易县、仁和区、西区、东区）芒果产业科技支撑能力与高质量发展水平的核心目标，积极开展技术培训、实地指导、人才培养与产业推动等工作，有效促进了专家人才与技术资源的下沉，直接服务基层村社与广大果农，全面完成了年度各项任务指标，取得了显著成效。</w:t>
      </w:r>
    </w:p>
    <w:p w14:paraId="475DD94C">
      <w:pPr>
        <w:adjustRightInd w:val="0"/>
        <w:snapToGrid w:val="0"/>
        <w:spacing w:line="600" w:lineRule="exact"/>
        <w:ind w:firstLine="720"/>
        <w:rPr>
          <w:rFonts w:eastAsia="仿宋_GB2312"/>
          <w:sz w:val="32"/>
          <w:szCs w:val="32"/>
        </w:rPr>
      </w:pPr>
      <w:r>
        <w:rPr>
          <w:rFonts w:hint="eastAsia" w:eastAsia="仿宋_GB2312" w:cs="仿宋_GB2312"/>
          <w:sz w:val="32"/>
          <w:szCs w:val="32"/>
        </w:rPr>
        <w:t>“三区”科技人才支持计划专项资金专项预算项目绩效自评得分为</w:t>
      </w:r>
      <w:r>
        <w:rPr>
          <w:rFonts w:eastAsia="仿宋_GB2312" w:cs="仿宋_GB2312"/>
          <w:sz w:val="32"/>
          <w:szCs w:val="32"/>
        </w:rPr>
        <w:t>99.61</w:t>
      </w:r>
      <w:r>
        <w:rPr>
          <w:rFonts w:hint="eastAsia" w:eastAsia="仿宋_GB2312" w:cs="仿宋_GB2312"/>
          <w:sz w:val="32"/>
          <w:szCs w:val="32"/>
        </w:rPr>
        <w:t>分，绩效自评综述：</w:t>
      </w:r>
      <w:r>
        <w:rPr>
          <w:rFonts w:hint="eastAsia" w:eastAsia="仿宋_GB2312"/>
          <w:sz w:val="32"/>
          <w:szCs w:val="32"/>
        </w:rPr>
        <w:t>通过为企业提供2个高品质番茄种苗的设施水肥一体化技术示范，推动了新品种新技术应用。为当地种植油菜花海打造进行咨询服务，推动文旅产业发展。通过参与色达县创新高原蔬菜培育种植及深加工示范项目，培养了本地人才。通过项目的开展，推动当地社会经济发展。</w:t>
      </w:r>
    </w:p>
    <w:p w14:paraId="5C7B0519">
      <w:pPr>
        <w:spacing w:line="600" w:lineRule="exact"/>
        <w:ind w:firstLine="640"/>
        <w:rPr>
          <w:rFonts w:eastAsia="仿宋_GB2312" w:cs="仿宋_GB2312"/>
          <w:sz w:val="32"/>
          <w:szCs w:val="32"/>
        </w:rPr>
      </w:pPr>
      <w:r>
        <w:rPr>
          <w:rFonts w:hint="eastAsia" w:eastAsia="仿宋_GB2312" w:cs="仿宋_GB2312"/>
          <w:sz w:val="32"/>
          <w:szCs w:val="32"/>
        </w:rPr>
        <w:t>2024年中央财政林业草原专项资金（攀西林粮高效复合模式推广示范项目专项资金专项预算项目绩效自评得分为</w:t>
      </w:r>
      <w:r>
        <w:rPr>
          <w:rFonts w:eastAsia="仿宋_GB2312" w:cs="仿宋_GB2312"/>
          <w:sz w:val="32"/>
          <w:szCs w:val="32"/>
        </w:rPr>
        <w:t>100</w:t>
      </w:r>
      <w:r>
        <w:rPr>
          <w:rFonts w:hint="eastAsia" w:eastAsia="仿宋_GB2312" w:cs="仿宋_GB2312"/>
          <w:sz w:val="32"/>
          <w:szCs w:val="32"/>
        </w:rPr>
        <w:t>分，绩效自评综述：项目组严格按照项目计划任务书和项目实施方案，全面、优质、高效地完成了各项目标任务，以格萨拉和大龙潭2个乡为示范点，有效实施了块菌幼林间套种粮食作物、中草药和食用菌，实现了以短养长，长短相结合的块菌种植新模式，填补了块菌产出前期没有收益的空缺。通过项目实施，培育合格菌根苗6100株，菌根平均感染率91.35%，新建块菌示范基地48亩，通过调查成活率96.37%；块菌幼林期行间套种高效益粮食作物藜麦2亩，每亩产生3100元的经济效益，中药材5亩，亩产值1.39万元，利用废弃果枝种植食用菌5亩，亩产值1.2万元以上；培训林农381人次，发放培训资料1050份，林农技能提升94.4%；新建示范基地2个，示范点2个，培养技术骨干7名和科技示范户6户。项目资金使用合理。</w:t>
      </w:r>
    </w:p>
    <w:p w14:paraId="37237427">
      <w:pPr>
        <w:adjustRightInd w:val="0"/>
        <w:snapToGrid w:val="0"/>
        <w:spacing w:line="600" w:lineRule="exact"/>
        <w:ind w:firstLine="720"/>
        <w:rPr>
          <w:rFonts w:eastAsia="仿宋_GB2312" w:cs="仿宋_GB2312"/>
          <w:sz w:val="32"/>
          <w:szCs w:val="32"/>
        </w:rPr>
      </w:pPr>
      <w:r>
        <w:rPr>
          <w:rFonts w:hint="eastAsia" w:eastAsia="仿宋_GB2312" w:cs="仿宋_GB2312"/>
          <w:sz w:val="32"/>
          <w:szCs w:val="32"/>
        </w:rPr>
        <w:t>2025年中央“三区”科技人才支持计划项目专项资金专项预算项目绩效自评得分为</w:t>
      </w:r>
      <w:r>
        <w:rPr>
          <w:rFonts w:eastAsia="仿宋_GB2312" w:cs="仿宋_GB2312"/>
          <w:sz w:val="32"/>
          <w:szCs w:val="32"/>
        </w:rPr>
        <w:t>94.72</w:t>
      </w:r>
      <w:r>
        <w:rPr>
          <w:rFonts w:hint="eastAsia" w:eastAsia="仿宋_GB2312" w:cs="仿宋_GB2312"/>
          <w:sz w:val="32"/>
          <w:szCs w:val="32"/>
        </w:rPr>
        <w:t>分，绩效自评综述：在年度经费预算执行上滞后，绩效指标品种、技术、培训人才培养、可持续发展、生态效益、农户满意度等完成良好，整体绩效评价为较好。</w:t>
      </w:r>
    </w:p>
    <w:p w14:paraId="2DB0D6F9">
      <w:pPr>
        <w:adjustRightInd w:val="0"/>
        <w:snapToGrid w:val="0"/>
        <w:spacing w:line="600" w:lineRule="exact"/>
        <w:ind w:firstLine="640" w:firstLineChars="200"/>
        <w:rPr>
          <w:rFonts w:eastAsia="仿宋_GB2312" w:cs="仿宋_GB2312"/>
          <w:sz w:val="32"/>
          <w:szCs w:val="32"/>
        </w:rPr>
      </w:pPr>
      <w:bookmarkStart w:id="69" w:name="OLE_LINK9"/>
      <w:bookmarkStart w:id="70" w:name="OLE_LINK10"/>
      <w:r>
        <w:rPr>
          <w:rFonts w:hint="eastAsia" w:eastAsia="仿宋_GB2312" w:cs="仿宋_GB2312"/>
          <w:sz w:val="32"/>
          <w:szCs w:val="32"/>
        </w:rPr>
        <w:t>2025年生态功能区转移支付资金项目专项资金专项预算项目绩效自评得分为</w:t>
      </w:r>
      <w:r>
        <w:rPr>
          <w:rFonts w:eastAsia="仿宋_GB2312" w:cs="仿宋_GB2312"/>
          <w:sz w:val="32"/>
          <w:szCs w:val="32"/>
        </w:rPr>
        <w:t>97.75</w:t>
      </w:r>
      <w:r>
        <w:rPr>
          <w:rFonts w:hint="eastAsia" w:eastAsia="仿宋_GB2312" w:cs="仿宋_GB2312"/>
          <w:sz w:val="32"/>
          <w:szCs w:val="32"/>
        </w:rPr>
        <w:t>分，绩效自评综述</w:t>
      </w:r>
      <w:bookmarkEnd w:id="69"/>
      <w:bookmarkEnd w:id="70"/>
      <w:r>
        <w:rPr>
          <w:rFonts w:hint="eastAsia" w:eastAsia="仿宋_GB2312" w:cs="仿宋_GB2312"/>
          <w:sz w:val="32"/>
          <w:szCs w:val="32"/>
        </w:rPr>
        <w:t>：本项目根据绩效目标，制定详细的实施方案；单位学术委员会以及科技科对项目全程进行监督检查，组织验收等；具有健全的财务制度，财务科对项目经费的支出进行审核；项目立项依据充分，符合国家、省、市相关政策；详细的产出和效果能满足需求。</w:t>
      </w:r>
    </w:p>
    <w:p w14:paraId="08897E80">
      <w:pPr>
        <w:spacing w:line="600" w:lineRule="exact"/>
        <w:ind w:firstLine="640"/>
        <w:rPr>
          <w:rFonts w:eastAsia="仿宋_GB2312" w:cs="仿宋_GB2312"/>
          <w:sz w:val="32"/>
          <w:szCs w:val="32"/>
        </w:rPr>
      </w:pPr>
      <w:bookmarkStart w:id="71" w:name="OLE_LINK3"/>
      <w:r>
        <w:rPr>
          <w:rFonts w:hint="eastAsia" w:eastAsia="仿宋_GB2312" w:cs="仿宋_GB2312"/>
          <w:sz w:val="32"/>
          <w:szCs w:val="32"/>
        </w:rPr>
        <w:t>省级财政农业改革创新科技示范奖补专项资金项目专项资金专项预算项目绩效自评得分为</w:t>
      </w:r>
      <w:r>
        <w:rPr>
          <w:rFonts w:eastAsia="仿宋_GB2312" w:cs="仿宋_GB2312"/>
          <w:sz w:val="32"/>
          <w:szCs w:val="32"/>
        </w:rPr>
        <w:t>92.02</w:t>
      </w:r>
      <w:r>
        <w:rPr>
          <w:rFonts w:hint="eastAsia" w:eastAsia="仿宋_GB2312" w:cs="仿宋_GB2312"/>
          <w:sz w:val="32"/>
          <w:szCs w:val="32"/>
        </w:rPr>
        <w:t>分，绩效自评综述：</w:t>
      </w:r>
      <w:r>
        <w:rPr>
          <w:rFonts w:hint="eastAsia" w:eastAsia="仿宋_GB2312"/>
          <w:sz w:val="32"/>
          <w:szCs w:val="32"/>
          <w:lang w:val="zh-CN"/>
        </w:rPr>
        <w:t>在年度经费预算执行、绩效指标完成、推广模式、品种、技术、示范基地建设、现场观摩会、技术交流会、培训任务、示范农户增收等任务指标完成良好，在科技成果转化、人才培养，促进产业的可持续发展、生态效益、农户满意度等方面还需加强。整体绩效评价为较好</w:t>
      </w:r>
      <w:r>
        <w:rPr>
          <w:rFonts w:hint="eastAsia" w:eastAsia="仿宋_GB2312" w:cs="仿宋_GB2312"/>
          <w:sz w:val="32"/>
          <w:szCs w:val="32"/>
        </w:rPr>
        <w:t>。</w:t>
      </w:r>
    </w:p>
    <w:bookmarkEnd w:id="71"/>
    <w:p w14:paraId="03C5E0F9">
      <w:pPr>
        <w:spacing w:line="600" w:lineRule="exact"/>
        <w:ind w:firstLine="640"/>
        <w:rPr>
          <w:rFonts w:eastAsia="仿宋_GB2312" w:cs="仿宋_GB2312"/>
          <w:sz w:val="32"/>
          <w:szCs w:val="32"/>
        </w:rPr>
      </w:pPr>
      <w:r>
        <w:rPr>
          <w:rFonts w:hint="eastAsia" w:eastAsia="仿宋_GB2312" w:cs="仿宋_GB2312"/>
          <w:sz w:val="32"/>
          <w:szCs w:val="32"/>
        </w:rPr>
        <w:t>高品质番茄科技成果转化示范基地建设项目专项资金专项预算项目绩效自评得分为</w:t>
      </w:r>
      <w:r>
        <w:rPr>
          <w:rFonts w:eastAsia="仿宋_GB2312" w:cs="仿宋_GB2312"/>
          <w:sz w:val="32"/>
          <w:szCs w:val="32"/>
        </w:rPr>
        <w:t>92</w:t>
      </w:r>
      <w:r>
        <w:rPr>
          <w:rFonts w:hint="eastAsia" w:eastAsia="仿宋_GB2312" w:cs="仿宋_GB2312"/>
          <w:sz w:val="32"/>
          <w:szCs w:val="32"/>
        </w:rPr>
        <w:t>分，绩效自评综述项目在红格镇鲊石村流转土地40亩，建立高品质番茄生产示范基地1个，示范高品质番茄新品种2个，同时新引进高品质番茄品种10个进行适应性筛选及展示。在示范基地推广应用有机肥替代化肥技术、水肥一体化技术、引进示范开厢覆膜铺滴灌带一体化耕整机等轻简化农业机械，达到节水、节肥，省人工成效的同时提升番茄品质。</w:t>
      </w:r>
    </w:p>
    <w:p w14:paraId="706FB2AD">
      <w:pPr>
        <w:spacing w:line="600" w:lineRule="exact"/>
        <w:ind w:firstLine="640" w:firstLineChars="200"/>
        <w:rPr>
          <w:rFonts w:eastAsia="仿宋_GB2312" w:cs="仿宋_GB2312"/>
          <w:sz w:val="32"/>
          <w:szCs w:val="32"/>
        </w:rPr>
      </w:pPr>
      <w:r>
        <w:rPr>
          <w:rFonts w:hint="eastAsia" w:eastAsia="仿宋_GB2312" w:cs="仿宋_GB2312"/>
          <w:sz w:val="32"/>
          <w:szCs w:val="32"/>
        </w:rPr>
        <w:t>国家现代农业产业技术体系四川创新团队建设专项资金专项预算项目绩效自评得分为</w:t>
      </w:r>
      <w:r>
        <w:rPr>
          <w:rFonts w:eastAsia="仿宋_GB2312" w:cs="仿宋_GB2312"/>
          <w:sz w:val="32"/>
          <w:szCs w:val="32"/>
        </w:rPr>
        <w:t>99.83</w:t>
      </w:r>
      <w:r>
        <w:rPr>
          <w:rFonts w:hint="eastAsia" w:eastAsia="仿宋_GB2312" w:cs="仿宋_GB2312"/>
          <w:sz w:val="32"/>
          <w:szCs w:val="32"/>
        </w:rPr>
        <w:t>分，绩效自评综述项目规划与攀枝花“3+2”发展定位以及全市“一三三三”总体发展战略目标，全力打造“天府第二粮仓”建设和共同富裕试验区的创建工作高度契合。项目资金分配合理、公平合规、执行有效、无违规使用项目资金现象发生，通过开展引进新品种、新技术、成果示范推广、培训指导、人才培养和生产督导等工作，圆满完成了2025年年度绩效目标，大力推动南亚热带作物产业向省力化、转型化和有机化转型，实现产业的提质增效。</w:t>
      </w:r>
    </w:p>
    <w:p w14:paraId="79F4755E">
      <w:pPr>
        <w:spacing w:line="600" w:lineRule="exact"/>
        <w:ind w:firstLine="640"/>
        <w:rPr>
          <w:rFonts w:eastAsia="仿宋_GB2312" w:cs="仿宋_GB2312"/>
          <w:sz w:val="32"/>
          <w:szCs w:val="32"/>
        </w:rPr>
      </w:pPr>
      <w:r>
        <w:rPr>
          <w:rFonts w:hint="eastAsia" w:eastAsia="仿宋_GB2312" w:cs="仿宋_GB2312"/>
          <w:sz w:val="32"/>
          <w:szCs w:val="32"/>
        </w:rPr>
        <w:t>2025年科技下乡万里行项目专项资金专项预算项目绩效自评得分为</w:t>
      </w:r>
      <w:r>
        <w:rPr>
          <w:rFonts w:eastAsia="仿宋_GB2312" w:cs="仿宋_GB2312"/>
          <w:sz w:val="32"/>
          <w:szCs w:val="32"/>
        </w:rPr>
        <w:t>93.68</w:t>
      </w:r>
      <w:r>
        <w:rPr>
          <w:rFonts w:hint="eastAsia" w:eastAsia="仿宋_GB2312" w:cs="仿宋_GB2312"/>
          <w:sz w:val="32"/>
          <w:szCs w:val="32"/>
        </w:rPr>
        <w:t>分，绩效自评综述：综合项目各方面情况，该项目在实施过程中，管理规范、资金使用合理、绩效目标完成情况良好，在推动蔬菜产业发展、人才培养等方面取得了显著成效，项目进展良好，整体绩效评价为良好。</w:t>
      </w:r>
    </w:p>
    <w:p w14:paraId="6D1C1D78">
      <w:pPr>
        <w:spacing w:line="600" w:lineRule="exact"/>
        <w:ind w:firstLine="640"/>
        <w:rPr>
          <w:rFonts w:eastAsia="仿宋_GB2312" w:cs="仿宋_GB2312"/>
          <w:sz w:val="32"/>
          <w:szCs w:val="32"/>
        </w:rPr>
      </w:pPr>
      <w:r>
        <w:rPr>
          <w:rFonts w:hint="eastAsia" w:eastAsia="仿宋_GB2312" w:cs="仿宋_GB2312"/>
          <w:sz w:val="32"/>
          <w:szCs w:val="32"/>
        </w:rPr>
        <w:t>四川省科技计划项目专项资金专项预算项目绩效自评得分为</w:t>
      </w:r>
      <w:r>
        <w:rPr>
          <w:rFonts w:eastAsia="仿宋_GB2312" w:cs="仿宋_GB2312"/>
          <w:sz w:val="32"/>
          <w:szCs w:val="32"/>
        </w:rPr>
        <w:t>100</w:t>
      </w:r>
      <w:r>
        <w:rPr>
          <w:rFonts w:hint="eastAsia" w:eastAsia="仿宋_GB2312" w:cs="仿宋_GB2312"/>
          <w:sz w:val="32"/>
          <w:szCs w:val="32"/>
        </w:rPr>
        <w:t>分，绩效自评综述：结合省科技厅验收的基本规则，进行了验收前的项目自评，评价指标和程序严格按照省科技厅验收项目的要求和管理办法推进，总体评价为良好，经攀枝花市民宗委和木里县农业农村局对项目实施成效抽查，应用结果达到了项目目标效益，其中实施村落的牧区农户产肉质量普遍提升了10%以上。种植业的病虫害平均发生率降低10%以上。依托项目新引进或更新的畜牧饲草饲料、家畜冻精、特色水果、高山蔬菜和经济作物等的品种品类超过10种；受益的民族同胞饮食结构得到了优化，地方疾病发生降低，医药成本同比实施前降低20%以上。项目完成木里县科普路线图1幅；木里县重点农业自然灾害预警图1幅；攀枝花—木里的农技科普传播者数据库（数据集）1个，完整呈现了农技科普传播者的参训内容和信息。</w:t>
      </w:r>
    </w:p>
    <w:p w14:paraId="23CBF60B">
      <w:pPr>
        <w:spacing w:line="600" w:lineRule="exact"/>
        <w:ind w:firstLine="640"/>
        <w:rPr>
          <w:rFonts w:eastAsia="仿宋_GB2312" w:cs="仿宋_GB2312"/>
          <w:sz w:val="32"/>
          <w:szCs w:val="32"/>
        </w:rPr>
      </w:pPr>
      <w:r>
        <w:rPr>
          <w:rFonts w:hint="eastAsia" w:eastAsia="仿宋_GB2312" w:cs="仿宋_GB2312"/>
          <w:sz w:val="32"/>
          <w:szCs w:val="32"/>
        </w:rPr>
        <w:t>四川省攀枝花市中型灌区农田灌溉水有效系数测算项目专项资金专项预算项目绩效自评得分为</w:t>
      </w:r>
      <w:r>
        <w:rPr>
          <w:rFonts w:eastAsia="仿宋_GB2312" w:cs="仿宋_GB2312"/>
          <w:sz w:val="32"/>
          <w:szCs w:val="32"/>
        </w:rPr>
        <w:t>100</w:t>
      </w:r>
      <w:r>
        <w:rPr>
          <w:rFonts w:hint="eastAsia" w:eastAsia="仿宋_GB2312" w:cs="仿宋_GB2312"/>
          <w:sz w:val="32"/>
          <w:szCs w:val="32"/>
        </w:rPr>
        <w:t>分，绩效自评综述：2025 年攀枝花市农田灌溉水有效利用系数测算项目，在省、市级主管部门的指导监督下，严格按照《四川省地市级农田灌溉水有效利用系数测算分析技术指导细则（2025 年修订版）》及项目实施方案要求，圆满完成了全市 9 个中型灌区的测算工作。项目资金使用合规高效、专款专用，财务管理规范透明；项目实施流程标准化、过程监管多层次、成果质量高，为我市农业用水决策优化、节水农业发展提供了重要的数据支撑和技术参考。</w:t>
      </w:r>
    </w:p>
    <w:p w14:paraId="3986225E">
      <w:pPr>
        <w:spacing w:line="600" w:lineRule="exact"/>
        <w:ind w:firstLine="640"/>
        <w:rPr>
          <w:rFonts w:eastAsia="仿宋_GB2312" w:cs="仿宋_GB2312"/>
          <w:sz w:val="32"/>
          <w:szCs w:val="32"/>
        </w:rPr>
      </w:pPr>
      <w:r>
        <w:rPr>
          <w:rFonts w:hint="eastAsia" w:eastAsia="仿宋_GB2312" w:cs="仿宋_GB2312"/>
          <w:sz w:val="32"/>
          <w:szCs w:val="32"/>
        </w:rPr>
        <w:t>种业振兴与特色优势产业培育项目专项资金专项预算项目绩效自评得分为</w:t>
      </w:r>
      <w:r>
        <w:rPr>
          <w:rFonts w:eastAsia="仿宋_GB2312" w:cs="仿宋_GB2312"/>
          <w:sz w:val="32"/>
          <w:szCs w:val="32"/>
        </w:rPr>
        <w:t>100</w:t>
      </w:r>
      <w:r>
        <w:rPr>
          <w:rFonts w:hint="eastAsia" w:eastAsia="仿宋_GB2312" w:cs="仿宋_GB2312"/>
          <w:sz w:val="32"/>
          <w:szCs w:val="32"/>
        </w:rPr>
        <w:t>分，绩效自评综述：本项目属于巩固脱贫攻坚成果与乡村振兴有效衔接项目，评价重点主要为种业创新研究、农业产业发展储备种业“芯片”以及特色优势产业培育助推农民共同富裕等方面。项目设立程序合法合规，制度完备，项目资金分配合理、使用规范、执行有效，资金到位支付及时，完成年度目标任务，通过项目实施，种业创新取得阶段性成果；通过特色优势产业培育，培养了一批示范户，辐射带动周边农户规范化种植，农户增收效益明显。项目取得的成效：1. 种业创新取得新突破。申报芒果新品种权1个“攀育5号”芒果和“香玉公主”樱桃通过品种认定，推广芒果新品种“攀育5号”50亩； 2. 特色优势产业培育初显成效。共建立示范基地309亩。一是建立“樱桃+人参果”种植核心示范基地100亩。二是建立“樱桃+魔芋”种植核心示范基地150亩，其中育种基地100亩，商品芋基地50亩。三是建立冬春优质赤松茸栽培示范基地39亩。四是建立川续断核心示范基地20亩。五是在永兴、温泉、西区和大箐沟基地建设“放牧+补饲”技术示范基地，示范红骨羊125只，通过“放牧+补饲”方式，降低红骨羊养殖成本。 3. 经济效益提升效果明显。一是“樱桃+人参果”模式17户示范户平均净收入达16125元，亩均增收3300元。二是“樱桃+魔芋”，亩均测产3000公斤，按照2025年市场价6元/公斤，亩均产值1.8万元左右，亩均增收3000元。三是首次获得“放牧+补饲”应用技术，羊致红率达到100%，同时饲草成本比全补饲降低300元左右；四是冬春优质赤松茸示范户预计增收明显，预测产量每亩在4000斤左右，预计亩产值在16000元以上。五是川续断还在生长期，预计亩产2000kg鲜货，折算干货250kg，按单价10元/kg计算，预测亩产值2500元。</w:t>
      </w:r>
    </w:p>
    <w:p w14:paraId="603AF67E">
      <w:pPr>
        <w:spacing w:line="600" w:lineRule="exact"/>
        <w:ind w:firstLine="640"/>
        <w:rPr>
          <w:rFonts w:eastAsia="仿宋_GB2312" w:cs="仿宋_GB2312"/>
          <w:sz w:val="32"/>
          <w:szCs w:val="32"/>
        </w:rPr>
      </w:pPr>
      <w:r>
        <w:rPr>
          <w:rFonts w:hint="eastAsia" w:eastAsia="仿宋_GB2312" w:cs="仿宋_GB2312"/>
          <w:sz w:val="32"/>
          <w:szCs w:val="32"/>
        </w:rPr>
        <w:t>绩效自评报告详见附件。</w:t>
      </w:r>
    </w:p>
    <w:p w14:paraId="5B17B159">
      <w:pPr>
        <w:spacing w:line="600" w:lineRule="exact"/>
        <w:jc w:val="center"/>
        <w:outlineLvl w:val="0"/>
        <w:rPr>
          <w:rFonts w:eastAsia="黑体"/>
          <w:sz w:val="44"/>
          <w:szCs w:val="44"/>
        </w:rPr>
      </w:pPr>
      <w:bookmarkStart w:id="72" w:name="_Toc15377225"/>
      <w:bookmarkStart w:id="73" w:name="_Toc15396613"/>
    </w:p>
    <w:p w14:paraId="355DFACC">
      <w:pPr>
        <w:spacing w:line="600" w:lineRule="exact"/>
        <w:jc w:val="center"/>
        <w:outlineLvl w:val="0"/>
        <w:rPr>
          <w:rFonts w:eastAsia="黑体"/>
          <w:sz w:val="44"/>
          <w:szCs w:val="44"/>
        </w:rPr>
      </w:pPr>
    </w:p>
    <w:p w14:paraId="2A9A03D9">
      <w:pPr>
        <w:spacing w:line="600" w:lineRule="exact"/>
        <w:jc w:val="center"/>
        <w:outlineLvl w:val="0"/>
        <w:rPr>
          <w:rFonts w:eastAsia="黑体"/>
          <w:sz w:val="44"/>
          <w:szCs w:val="44"/>
        </w:rPr>
      </w:pPr>
    </w:p>
    <w:p w14:paraId="6138E219">
      <w:pPr>
        <w:spacing w:line="600" w:lineRule="exact"/>
        <w:jc w:val="center"/>
        <w:outlineLvl w:val="0"/>
        <w:rPr>
          <w:rFonts w:eastAsia="黑体"/>
          <w:sz w:val="44"/>
          <w:szCs w:val="44"/>
        </w:rPr>
      </w:pPr>
    </w:p>
    <w:p w14:paraId="341F84B1">
      <w:pPr>
        <w:spacing w:line="600" w:lineRule="exact"/>
        <w:jc w:val="center"/>
        <w:outlineLvl w:val="0"/>
        <w:rPr>
          <w:rFonts w:eastAsia="黑体"/>
          <w:sz w:val="44"/>
          <w:szCs w:val="44"/>
        </w:rPr>
      </w:pPr>
    </w:p>
    <w:p w14:paraId="3CBAE695">
      <w:pPr>
        <w:spacing w:line="600" w:lineRule="exact"/>
        <w:outlineLvl w:val="0"/>
        <w:rPr>
          <w:rFonts w:eastAsia="黑体"/>
          <w:sz w:val="44"/>
          <w:szCs w:val="44"/>
        </w:rPr>
      </w:pPr>
    </w:p>
    <w:p w14:paraId="1996A5CE">
      <w:pPr>
        <w:spacing w:line="600" w:lineRule="exact"/>
        <w:jc w:val="center"/>
        <w:outlineLvl w:val="0"/>
        <w:rPr>
          <w:rFonts w:eastAsia="黑体"/>
          <w:sz w:val="44"/>
          <w:szCs w:val="44"/>
        </w:rPr>
      </w:pPr>
      <w:r>
        <w:rPr>
          <w:rFonts w:eastAsia="黑体"/>
          <w:sz w:val="44"/>
          <w:szCs w:val="44"/>
        </w:rPr>
        <w:br w:type="page"/>
      </w:r>
    </w:p>
    <w:p w14:paraId="71040A26">
      <w:pPr>
        <w:pStyle w:val="5"/>
        <w:jc w:val="center"/>
        <w:rPr>
          <w:rFonts w:eastAsia="方正小标宋简体" w:cs="方正小标宋简体"/>
          <w:b w:val="0"/>
        </w:rPr>
      </w:pPr>
      <w:bookmarkStart w:id="74" w:name="_Toc239752587"/>
      <w:r>
        <w:rPr>
          <w:rFonts w:hint="eastAsia" w:eastAsia="方正小标宋简体" w:cs="方正小标宋简体"/>
          <w:b w:val="0"/>
        </w:rPr>
        <w:t xml:space="preserve">第三部分 </w:t>
      </w:r>
      <w:r>
        <w:rPr>
          <w:rFonts w:eastAsia="方正小标宋简体" w:cs="方正小标宋简体"/>
          <w:b w:val="0"/>
        </w:rPr>
        <w:t xml:space="preserve"> </w:t>
      </w:r>
      <w:r>
        <w:rPr>
          <w:rFonts w:hint="eastAsia" w:eastAsia="方正小标宋简体" w:cs="方正小标宋简体"/>
          <w:b w:val="0"/>
        </w:rPr>
        <w:t>名词解释</w:t>
      </w:r>
      <w:bookmarkEnd w:id="72"/>
      <w:bookmarkEnd w:id="73"/>
      <w:bookmarkEnd w:id="74"/>
    </w:p>
    <w:p w14:paraId="752E25DD">
      <w:pPr>
        <w:spacing w:line="600" w:lineRule="exact"/>
        <w:jc w:val="left"/>
        <w:rPr>
          <w:b/>
          <w:sz w:val="44"/>
          <w:szCs w:val="44"/>
        </w:rPr>
      </w:pPr>
    </w:p>
    <w:p w14:paraId="7E3ADD8A">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474FFB5F">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1A0C09A9">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2DBD96E5">
      <w:pPr>
        <w:spacing w:line="600" w:lineRule="exact"/>
        <w:ind w:firstLine="640"/>
        <w:rPr>
          <w:rFonts w:eastAsia="仿宋_GB2312" w:cs="仿宋_GB2312"/>
          <w:sz w:val="32"/>
          <w:szCs w:val="32"/>
        </w:rPr>
      </w:pPr>
      <w:r>
        <w:rPr>
          <w:rFonts w:hint="eastAsia" w:eastAsia="仿宋_GB2312" w:cs="仿宋_GB2312"/>
          <w:sz w:val="32"/>
          <w:szCs w:val="32"/>
        </w:rPr>
        <w:t>4.其他收入：指单位取得的除上述收入以外的各项收入。主要是成果转化收入等。</w:t>
      </w:r>
    </w:p>
    <w:p w14:paraId="444E43E7">
      <w:pPr>
        <w:spacing w:line="600" w:lineRule="exact"/>
        <w:ind w:firstLine="640"/>
        <w:rPr>
          <w:rFonts w:eastAsia="仿宋_GB2312" w:cs="仿宋_GB2312"/>
          <w:sz w:val="32"/>
          <w:szCs w:val="32"/>
        </w:rPr>
      </w:pPr>
      <w:r>
        <w:rPr>
          <w:rFonts w:hint="eastAsia" w:eastAsia="仿宋_GB2312" w:cs="仿宋_GB2312"/>
          <w:sz w:val="32"/>
          <w:szCs w:val="32"/>
        </w:rPr>
        <w:t>5.使用非财政拨款结余（含专用结余）：指事业单位使用以前年度积累的非财政拨款结余弥补当年收支差额的金额。</w:t>
      </w:r>
    </w:p>
    <w:p w14:paraId="61EA66CA">
      <w:pPr>
        <w:spacing w:line="600" w:lineRule="exact"/>
        <w:ind w:firstLine="640"/>
        <w:rPr>
          <w:rFonts w:eastAsia="仿宋_GB2312" w:cs="仿宋_GB2312"/>
          <w:sz w:val="32"/>
          <w:szCs w:val="32"/>
        </w:rPr>
      </w:pPr>
      <w:r>
        <w:rPr>
          <w:rFonts w:hint="eastAsia" w:eastAsia="仿宋_GB2312" w:cs="仿宋_GB2312"/>
          <w:sz w:val="32"/>
          <w:szCs w:val="32"/>
        </w:rPr>
        <w:t>6.年初结转和结余：指以前年度尚未完成、结转到本年按有关规定继续使用的资金。</w:t>
      </w:r>
    </w:p>
    <w:p w14:paraId="29FDBF92">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60F30FCA">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0B0E0F14">
      <w:pPr>
        <w:spacing w:line="600" w:lineRule="exact"/>
        <w:ind w:firstLine="640"/>
        <w:rPr>
          <w:rFonts w:eastAsia="仿宋_GB2312" w:cs="仿宋_GB2312"/>
          <w:sz w:val="32"/>
          <w:szCs w:val="32"/>
        </w:rPr>
      </w:pPr>
      <w:r>
        <w:rPr>
          <w:rFonts w:eastAsia="仿宋_GB2312" w:cs="仿宋_GB2312"/>
          <w:sz w:val="32"/>
          <w:szCs w:val="32"/>
        </w:rPr>
        <w:t>9.一般公共服务支出（类）组织事务（款）其他组织事务支出（项）：指反映除上述项目以外其他用于中国共产党组织部门的事务支出。</w:t>
      </w:r>
    </w:p>
    <w:p w14:paraId="24406112">
      <w:pPr>
        <w:spacing w:line="600" w:lineRule="exact"/>
        <w:ind w:firstLine="640"/>
        <w:rPr>
          <w:rFonts w:eastAsia="仿宋_GB2312" w:cs="仿宋_GB2312"/>
          <w:sz w:val="32"/>
          <w:szCs w:val="32"/>
        </w:rPr>
      </w:pPr>
      <w:r>
        <w:rPr>
          <w:rFonts w:eastAsia="仿宋_GB2312" w:cs="仿宋_GB2312"/>
          <w:sz w:val="32"/>
          <w:szCs w:val="32"/>
        </w:rPr>
        <w:t>10.科学技术支出（类）应用研究（款）社会公益研究（项）：指反映从事卫生、劳动保护、计划生育、环境科学、农业等社会公益专项科研方面的支出。</w:t>
      </w:r>
    </w:p>
    <w:p w14:paraId="58B8956A">
      <w:pPr>
        <w:spacing w:line="600" w:lineRule="exact"/>
        <w:ind w:firstLine="640"/>
        <w:rPr>
          <w:rFonts w:eastAsia="仿宋_GB2312" w:cs="仿宋_GB2312"/>
          <w:sz w:val="32"/>
          <w:szCs w:val="32"/>
        </w:rPr>
      </w:pPr>
      <w:r>
        <w:rPr>
          <w:rFonts w:eastAsia="仿宋_GB2312" w:cs="仿宋_GB2312"/>
          <w:sz w:val="32"/>
          <w:szCs w:val="32"/>
        </w:rPr>
        <w:t>11.科学技术支出（类）其他科学技术支出（款）其他科学技术支出（项）：指反映其他科学技术支出中除以上各项外用于科技方面的支出。</w:t>
      </w:r>
    </w:p>
    <w:p w14:paraId="69C24A75">
      <w:pPr>
        <w:spacing w:line="600" w:lineRule="exact"/>
        <w:ind w:firstLine="640"/>
        <w:rPr>
          <w:rFonts w:eastAsia="仿宋_GB2312" w:cs="仿宋_GB2312"/>
          <w:sz w:val="32"/>
          <w:szCs w:val="32"/>
        </w:rPr>
      </w:pPr>
      <w:r>
        <w:rPr>
          <w:rFonts w:eastAsia="仿宋_GB2312" w:cs="仿宋_GB2312"/>
          <w:sz w:val="32"/>
          <w:szCs w:val="32"/>
        </w:rPr>
        <w:t>12.社会保障和就业支出（类）行政事业单位养老支出（款）事业单位离退休（项）：指反映事业单位开支的离退休经费。</w:t>
      </w:r>
    </w:p>
    <w:p w14:paraId="06965E29">
      <w:pPr>
        <w:spacing w:line="600" w:lineRule="exact"/>
        <w:ind w:firstLine="640"/>
        <w:rPr>
          <w:rFonts w:eastAsia="仿宋_GB2312" w:cs="仿宋_GB2312"/>
          <w:sz w:val="32"/>
          <w:szCs w:val="32"/>
        </w:rPr>
      </w:pPr>
      <w:r>
        <w:rPr>
          <w:rFonts w:eastAsia="仿宋_GB2312" w:cs="仿宋_GB2312"/>
          <w:sz w:val="32"/>
          <w:szCs w:val="32"/>
        </w:rPr>
        <w:t>13.社会保障和就业支出（类）行政事业单位养老支出（款）机关事业单位基本养老保险缴费支出（项）：指反映机关事业单位实施养老保险制度由单位缴纳的基本养老保险支出。</w:t>
      </w:r>
    </w:p>
    <w:p w14:paraId="145E8638">
      <w:pPr>
        <w:spacing w:line="600" w:lineRule="exact"/>
        <w:ind w:firstLine="640"/>
        <w:rPr>
          <w:rFonts w:eastAsia="仿宋_GB2312" w:cs="仿宋_GB2312"/>
          <w:sz w:val="32"/>
          <w:szCs w:val="32"/>
        </w:rPr>
      </w:pPr>
      <w:r>
        <w:rPr>
          <w:rFonts w:eastAsia="仿宋_GB2312" w:cs="仿宋_GB2312"/>
          <w:sz w:val="32"/>
          <w:szCs w:val="32"/>
        </w:rPr>
        <w:t>14.社会保障和就业支出（类）行政事业单位养老支出（款）机关事业单位职业年金缴费支出（项）：指反映机关事业单位实施养老保险制度由单位实际缴纳的职业年金支出。</w:t>
      </w:r>
    </w:p>
    <w:p w14:paraId="0584961E">
      <w:pPr>
        <w:spacing w:line="600" w:lineRule="exact"/>
        <w:ind w:firstLine="640"/>
        <w:rPr>
          <w:rFonts w:eastAsia="仿宋_GB2312" w:cs="仿宋_GB2312"/>
          <w:sz w:val="32"/>
          <w:szCs w:val="32"/>
        </w:rPr>
      </w:pPr>
      <w:r>
        <w:rPr>
          <w:rFonts w:eastAsia="仿宋_GB2312" w:cs="仿宋_GB2312"/>
          <w:sz w:val="32"/>
          <w:szCs w:val="32"/>
        </w:rPr>
        <w:t>15.社会保障和就业支出（类）人力资源和社会保障管理事务（款）其他人力资源和社会保障管理事务支出（项）：指反映除上述项目以外其他用于人力资源和社会保障管理事务方面的支出。</w:t>
      </w:r>
    </w:p>
    <w:p w14:paraId="37CC5A66">
      <w:pPr>
        <w:spacing w:line="600" w:lineRule="exact"/>
        <w:ind w:firstLine="640"/>
        <w:rPr>
          <w:rFonts w:eastAsia="仿宋_GB2312" w:cs="仿宋_GB2312"/>
          <w:sz w:val="32"/>
          <w:szCs w:val="32"/>
        </w:rPr>
      </w:pPr>
      <w:r>
        <w:rPr>
          <w:rFonts w:eastAsia="仿宋_GB2312" w:cs="仿宋_GB2312"/>
          <w:sz w:val="32"/>
          <w:szCs w:val="32"/>
        </w:rPr>
        <w:t>16.社会保障和就业支出（类）抚恤（款）死亡抚恤（项）：指反映按规定用于烈士和牺牲、病故人员家属的一次性和定期抚恤金、丧葬补助费以及烈士褒扬金。</w:t>
      </w:r>
    </w:p>
    <w:p w14:paraId="5DF6DA70">
      <w:pPr>
        <w:spacing w:line="600" w:lineRule="exact"/>
        <w:ind w:firstLine="640"/>
        <w:rPr>
          <w:rFonts w:eastAsia="仿宋_GB2312" w:cs="仿宋_GB2312"/>
          <w:sz w:val="32"/>
          <w:szCs w:val="32"/>
        </w:rPr>
      </w:pPr>
      <w:r>
        <w:rPr>
          <w:rFonts w:eastAsia="仿宋_GB2312" w:cs="仿宋_GB2312"/>
          <w:sz w:val="32"/>
          <w:szCs w:val="32"/>
        </w:rPr>
        <w:t>17.卫生健康支出（类）行政事业单位医疗（款）事业单位医疗（项）：指反映财政部门安排的事业单位基本医疗保险缴费经费，未参加医疗保险的事业单位的公费医疗经费，按国家规定享受离休人员待遇的医疗经费。</w:t>
      </w:r>
    </w:p>
    <w:p w14:paraId="1A5142FA">
      <w:pPr>
        <w:spacing w:line="600" w:lineRule="exact"/>
        <w:ind w:firstLine="640"/>
        <w:rPr>
          <w:rFonts w:eastAsia="仿宋_GB2312" w:cs="仿宋_GB2312"/>
          <w:sz w:val="32"/>
          <w:szCs w:val="32"/>
        </w:rPr>
      </w:pPr>
      <w:r>
        <w:rPr>
          <w:rFonts w:eastAsia="仿宋_GB2312" w:cs="仿宋_GB2312"/>
          <w:sz w:val="32"/>
          <w:szCs w:val="32"/>
        </w:rPr>
        <w:t>18.卫生健康支出（类）行政事业单位医疗（款）公务员医疗补助（项）：指反映财政部门安排的公务员医疗补助经费。</w:t>
      </w:r>
    </w:p>
    <w:p w14:paraId="40DE257E">
      <w:pPr>
        <w:spacing w:line="600" w:lineRule="exact"/>
        <w:ind w:firstLine="640"/>
        <w:rPr>
          <w:rFonts w:eastAsia="仿宋_GB2312" w:cs="仿宋_GB2312"/>
          <w:sz w:val="32"/>
          <w:szCs w:val="32"/>
        </w:rPr>
      </w:pPr>
      <w:r>
        <w:rPr>
          <w:rFonts w:eastAsia="仿宋_GB2312" w:cs="仿宋_GB2312"/>
          <w:sz w:val="32"/>
          <w:szCs w:val="32"/>
        </w:rPr>
        <w:t>19.农林水支出（类）农业农村（款）事业运行（项）：指反映用于农业事业单位基本支出，事业单位实施、系统运行与资产维护等方面的支出。</w:t>
      </w:r>
    </w:p>
    <w:p w14:paraId="1AE3225B">
      <w:pPr>
        <w:spacing w:line="600" w:lineRule="exact"/>
        <w:ind w:firstLine="640"/>
        <w:rPr>
          <w:rFonts w:eastAsia="仿宋_GB2312" w:cs="仿宋_GB2312"/>
          <w:sz w:val="32"/>
          <w:szCs w:val="32"/>
        </w:rPr>
      </w:pPr>
      <w:r>
        <w:rPr>
          <w:rFonts w:eastAsia="仿宋_GB2312" w:cs="仿宋_GB2312"/>
          <w:sz w:val="32"/>
          <w:szCs w:val="32"/>
        </w:rPr>
        <w:t>20.农林水支出（类）农业农村（款）科技转化与推广服务（项）：指反映用于农业科技成果转化，农业科技人才奖励，农业新品种、新机具、新技术引进、试验、示范、推广及服务，农村人居环境整治等方面的技术试验示范支出。</w:t>
      </w:r>
    </w:p>
    <w:p w14:paraId="390EFBA9">
      <w:pPr>
        <w:spacing w:line="600" w:lineRule="exact"/>
        <w:ind w:firstLine="640"/>
        <w:rPr>
          <w:rFonts w:eastAsia="仿宋_GB2312" w:cs="仿宋_GB2312"/>
          <w:sz w:val="32"/>
          <w:szCs w:val="32"/>
        </w:rPr>
      </w:pPr>
      <w:r>
        <w:rPr>
          <w:rFonts w:eastAsia="仿宋_GB2312" w:cs="仿宋_GB2312"/>
          <w:sz w:val="32"/>
          <w:szCs w:val="32"/>
        </w:rPr>
        <w:t>21.农林水支出（类）林业和草原（款）技术推广与转化（项）：指反映良种繁育、新技术引进、区域化试验、示范、技术推广、成果转化、科学普及等方面的支出。</w:t>
      </w:r>
    </w:p>
    <w:p w14:paraId="29724C20">
      <w:pPr>
        <w:spacing w:line="600" w:lineRule="exact"/>
        <w:ind w:firstLine="640"/>
        <w:rPr>
          <w:rFonts w:eastAsia="仿宋_GB2312" w:cs="仿宋_GB2312"/>
          <w:sz w:val="32"/>
          <w:szCs w:val="32"/>
        </w:rPr>
      </w:pPr>
      <w:r>
        <w:rPr>
          <w:rFonts w:eastAsia="仿宋_GB2312" w:cs="仿宋_GB2312"/>
          <w:sz w:val="32"/>
          <w:szCs w:val="32"/>
        </w:rPr>
        <w:t>22.农林水支出（类）林业和草原（款）其他林业和草原支出（项）：指反映上述项目以外其他用于林业和草原方面的支出。</w:t>
      </w:r>
    </w:p>
    <w:p w14:paraId="2B69E741">
      <w:pPr>
        <w:spacing w:line="600" w:lineRule="exact"/>
        <w:ind w:firstLine="640"/>
        <w:rPr>
          <w:rFonts w:eastAsia="仿宋_GB2312" w:cs="仿宋_GB2312"/>
          <w:sz w:val="32"/>
          <w:szCs w:val="32"/>
        </w:rPr>
      </w:pPr>
      <w:r>
        <w:rPr>
          <w:rFonts w:eastAsia="仿宋_GB2312" w:cs="仿宋_GB2312"/>
          <w:sz w:val="32"/>
          <w:szCs w:val="32"/>
        </w:rPr>
        <w:t>23.</w:t>
      </w:r>
      <w:r>
        <w:rPr>
          <w:rFonts w:hint="eastAsia" w:eastAsia="仿宋_GB2312" w:cs="仿宋_GB2312"/>
          <w:sz w:val="32"/>
          <w:szCs w:val="32"/>
        </w:rPr>
        <w:t>农林水支出（类）水利（款）水资源节约管理与保护（项）：反映水资源节约、监管、配置、调度、保护和基础管理工作的支出。</w:t>
      </w:r>
    </w:p>
    <w:p w14:paraId="35B6C3D0">
      <w:pPr>
        <w:spacing w:line="600" w:lineRule="exact"/>
        <w:ind w:firstLine="640"/>
        <w:rPr>
          <w:rFonts w:eastAsia="仿宋_GB2312" w:cs="仿宋_GB2312"/>
          <w:sz w:val="32"/>
          <w:szCs w:val="32"/>
        </w:rPr>
      </w:pPr>
      <w:r>
        <w:rPr>
          <w:rFonts w:eastAsia="仿宋_GB2312" w:cs="仿宋_GB2312"/>
          <w:sz w:val="32"/>
          <w:szCs w:val="32"/>
        </w:rPr>
        <w:t>24.农林水支出（类）巩固脱贫攻坚成果衔接乡村振兴（款）其他巩固脱贫攻坚成果衔接乡村振兴支出（项）：</w:t>
      </w:r>
      <w:r>
        <w:rPr>
          <w:rFonts w:hint="eastAsia" w:eastAsia="仿宋_GB2312" w:cs="仿宋_GB2312"/>
          <w:sz w:val="32"/>
          <w:szCs w:val="32"/>
        </w:rPr>
        <w:t>指反映除上述项目以外其他用于巩固拓展脱贫攻坚成果同乡村振兴有效衔接方面的支出。</w:t>
      </w:r>
    </w:p>
    <w:p w14:paraId="5816C2D8">
      <w:pPr>
        <w:spacing w:line="600" w:lineRule="exact"/>
        <w:ind w:firstLine="640"/>
        <w:rPr>
          <w:rFonts w:eastAsia="仿宋_GB2312" w:cs="仿宋_GB2312"/>
          <w:sz w:val="32"/>
          <w:szCs w:val="32"/>
        </w:rPr>
      </w:pPr>
      <w:r>
        <w:rPr>
          <w:rFonts w:eastAsia="仿宋_GB2312" w:cs="仿宋_GB2312"/>
          <w:sz w:val="32"/>
          <w:szCs w:val="32"/>
        </w:rPr>
        <w:t>25.住房保障支出（类）住房改革支出（款）住房公积金（项）：指反映行政事业单位按人力资源和社会保障部、财政部规定的基本工资和津贴补贴以及规定比例为职工缴纳的住房公积金。</w:t>
      </w:r>
    </w:p>
    <w:p w14:paraId="36FBA177">
      <w:pPr>
        <w:spacing w:line="600" w:lineRule="exact"/>
        <w:ind w:firstLine="640"/>
        <w:rPr>
          <w:rFonts w:eastAsia="仿宋_GB2312" w:cs="仿宋_GB2312"/>
          <w:sz w:val="32"/>
          <w:szCs w:val="32"/>
        </w:rPr>
      </w:pPr>
      <w:r>
        <w:rPr>
          <w:rFonts w:hint="eastAsia" w:eastAsia="仿宋_GB2312" w:cs="仿宋_GB2312"/>
          <w:sz w:val="32"/>
          <w:szCs w:val="32"/>
        </w:rPr>
        <w:t>2</w:t>
      </w:r>
      <w:r>
        <w:rPr>
          <w:rFonts w:eastAsia="仿宋_GB2312" w:cs="仿宋_GB2312"/>
          <w:sz w:val="32"/>
          <w:szCs w:val="32"/>
        </w:rPr>
        <w:t>6.</w:t>
      </w:r>
      <w:r>
        <w:rPr>
          <w:rFonts w:hint="eastAsia" w:eastAsia="仿宋_GB2312" w:cs="仿宋_GB2312"/>
          <w:sz w:val="32"/>
          <w:szCs w:val="32"/>
        </w:rPr>
        <w:t>其他支出（类）其他支出（款）其他支出（项）：指反映除上述项目以外其他不能划分到具体功能科目中的支出项目。</w:t>
      </w:r>
    </w:p>
    <w:p w14:paraId="54DA7BD2">
      <w:pPr>
        <w:spacing w:line="600" w:lineRule="exact"/>
        <w:ind w:firstLine="640"/>
        <w:rPr>
          <w:rFonts w:eastAsia="仿宋_GB2312" w:cs="仿宋_GB2312"/>
          <w:sz w:val="32"/>
          <w:szCs w:val="32"/>
        </w:rPr>
      </w:pPr>
      <w:r>
        <w:rPr>
          <w:rFonts w:eastAsia="仿宋_GB2312" w:cs="仿宋_GB2312"/>
          <w:sz w:val="32"/>
          <w:szCs w:val="32"/>
        </w:rPr>
        <w:t>27.基本支出：指为保障机构正常运转、完成日常工作任务而发生的人员支出和公用支出。</w:t>
      </w:r>
    </w:p>
    <w:p w14:paraId="688EC826">
      <w:pPr>
        <w:spacing w:line="600" w:lineRule="exact"/>
        <w:ind w:firstLine="640"/>
        <w:rPr>
          <w:rFonts w:eastAsia="仿宋_GB2312" w:cs="仿宋_GB2312"/>
          <w:sz w:val="32"/>
          <w:szCs w:val="32"/>
        </w:rPr>
      </w:pPr>
      <w:r>
        <w:rPr>
          <w:rFonts w:eastAsia="仿宋_GB2312" w:cs="仿宋_GB2312"/>
          <w:sz w:val="32"/>
          <w:szCs w:val="32"/>
        </w:rPr>
        <w:t>28.项目支出：指在基本支出之外为完成特定行政任务和事业发展目标所发生的支出。</w:t>
      </w:r>
    </w:p>
    <w:p w14:paraId="36AA9C8E">
      <w:pPr>
        <w:spacing w:line="600" w:lineRule="exact"/>
        <w:ind w:firstLine="640"/>
        <w:rPr>
          <w:rFonts w:eastAsia="仿宋_GB2312" w:cs="仿宋_GB2312"/>
          <w:sz w:val="32"/>
          <w:szCs w:val="32"/>
        </w:rPr>
      </w:pPr>
      <w:r>
        <w:rPr>
          <w:rFonts w:eastAsia="仿宋_GB2312" w:cs="仿宋_GB2312"/>
          <w:sz w:val="32"/>
          <w:szCs w:val="32"/>
        </w:rPr>
        <w:t>29经营支出：指事业单位在专业业务活动及其辅助活动之外开展非独立核算经营活动发生的支出。</w:t>
      </w:r>
    </w:p>
    <w:p w14:paraId="5F1B17E3">
      <w:pPr>
        <w:spacing w:line="600" w:lineRule="exact"/>
        <w:ind w:firstLine="640"/>
        <w:rPr>
          <w:rFonts w:eastAsia="仿宋_GB2312" w:cs="仿宋_GB2312"/>
          <w:sz w:val="32"/>
          <w:szCs w:val="32"/>
        </w:rPr>
      </w:pPr>
      <w:r>
        <w:rPr>
          <w:rFonts w:eastAsia="仿宋_GB2312" w:cs="仿宋_GB2312"/>
          <w:sz w:val="32"/>
          <w:szCs w:val="32"/>
        </w:rPr>
        <w:t>30.“三公”经费：指</w:t>
      </w:r>
      <w:r>
        <w:rPr>
          <w:rFonts w:hint="eastAsia" w:eastAsia="仿宋_GB2312" w:cs="仿宋_GB2312"/>
          <w:sz w:val="32"/>
          <w:szCs w:val="32"/>
        </w:rPr>
        <w:t>单位</w:t>
      </w:r>
      <w:r>
        <w:rPr>
          <w:rFonts w:eastAsia="仿宋_GB2312" w:cs="仿宋_GB2312"/>
          <w:sz w:val="32"/>
          <w:szCs w:val="32"/>
        </w:rPr>
        <w:t>用财政拨款安排的因公出国（境）费、公务用车购置及运行费和公务接待费。其中，因公出国（境）费反映单位公务出国（境）的国际旅费、国外城市间交通费、住宿费、伙食费、培训费、公杂费等支出；</w:t>
      </w:r>
      <w:r>
        <w:rPr>
          <w:rFonts w:hint="eastAsia" w:eastAsia="仿宋_GB2312" w:cs="仿宋_GB2312"/>
          <w:sz w:val="32"/>
          <w:szCs w:val="32"/>
        </w:rPr>
        <w:t>公务用车运行维护费反映单位按照规定保留的公务用车燃料费、新能源汽车充电费、维修费、过桥过路费、保险费、安全奖励费用等支出</w:t>
      </w:r>
      <w:r>
        <w:rPr>
          <w:rFonts w:eastAsia="仿宋_GB2312" w:cs="仿宋_GB2312"/>
          <w:sz w:val="32"/>
          <w:szCs w:val="32"/>
        </w:rPr>
        <w:t>；公务接待费反映单位按规定开支的各类公务接待（含外宾接待）</w:t>
      </w:r>
      <w:r>
        <w:rPr>
          <w:rFonts w:hint="eastAsia" w:eastAsia="仿宋_GB2312" w:cs="仿宋_GB2312"/>
          <w:sz w:val="32"/>
          <w:szCs w:val="32"/>
        </w:rPr>
        <w:t>费用</w:t>
      </w:r>
      <w:r>
        <w:rPr>
          <w:rFonts w:eastAsia="仿宋_GB2312" w:cs="仿宋_GB2312"/>
          <w:sz w:val="32"/>
          <w:szCs w:val="32"/>
        </w:rPr>
        <w:t>。</w:t>
      </w:r>
    </w:p>
    <w:p w14:paraId="69F5A16F">
      <w:pPr>
        <w:pStyle w:val="5"/>
        <w:jc w:val="center"/>
        <w:rPr>
          <w:rFonts w:eastAsia="方正小标宋简体" w:cs="方正小标宋简体"/>
          <w:b w:val="0"/>
        </w:rPr>
      </w:pPr>
      <w:bookmarkStart w:id="75" w:name="_Toc15377226"/>
      <w:r>
        <w:rPr>
          <w:rFonts w:hint="eastAsia" w:eastAsia="仿宋_GB2312" w:cs="仿宋_GB2312"/>
          <w:sz w:val="32"/>
          <w:szCs w:val="32"/>
        </w:rPr>
        <w:br w:type="page"/>
      </w:r>
      <w:bookmarkStart w:id="76" w:name="_Toc15396614"/>
      <w:bookmarkStart w:id="77" w:name="_Toc239752588"/>
      <w:r>
        <w:rPr>
          <w:rFonts w:eastAsia="方正小标宋简体" w:cs="方正小标宋简体"/>
          <w:b w:val="0"/>
        </w:rPr>
        <w:t>第四部分</w:t>
      </w:r>
      <w:r>
        <w:rPr>
          <w:rFonts w:hint="eastAsia" w:eastAsia="方正小标宋简体" w:cs="方正小标宋简体"/>
          <w:b w:val="0"/>
        </w:rPr>
        <w:t xml:space="preserve"> </w:t>
      </w:r>
      <w:r>
        <w:rPr>
          <w:rFonts w:eastAsia="方正小标宋简体" w:cs="方正小标宋简体"/>
          <w:b w:val="0"/>
        </w:rPr>
        <w:t xml:space="preserve"> 附件</w:t>
      </w:r>
      <w:bookmarkEnd w:id="76"/>
      <w:bookmarkEnd w:id="77"/>
    </w:p>
    <w:p w14:paraId="61A1E241">
      <w:pPr>
        <w:widowControl/>
        <w:spacing w:line="578" w:lineRule="exact"/>
        <w:contextualSpacing/>
        <w:rPr>
          <w:rFonts w:eastAsia="方正小标宋简体"/>
          <w:bCs/>
          <w:sz w:val="44"/>
          <w:szCs w:val="44"/>
          <w:shd w:val="clear" w:color="auto" w:fill="FFFFFF"/>
        </w:rPr>
      </w:pPr>
    </w:p>
    <w:p w14:paraId="0D715F1A">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21F5658E">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45FBA5C0">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部门基本情况</w:t>
      </w:r>
    </w:p>
    <w:p w14:paraId="78179AA4">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111387B7">
      <w:pPr>
        <w:widowControl/>
        <w:adjustRightInd w:val="0"/>
        <w:snapToGrid w:val="0"/>
        <w:spacing w:line="578" w:lineRule="exact"/>
        <w:ind w:firstLine="640" w:firstLineChars="200"/>
        <w:contextualSpacing/>
        <w:jc w:val="left"/>
        <w:rPr>
          <w:szCs w:val="32"/>
        </w:rPr>
      </w:pPr>
      <w:r>
        <w:rPr>
          <w:rFonts w:hint="eastAsia" w:eastAsia="仿宋_GB2312" w:cs="仿宋_GB2312"/>
          <w:sz w:val="32"/>
          <w:szCs w:val="32"/>
        </w:rPr>
        <w:t>市农林科学院部门下属二级预算单位1个，二级预算单位名称：攀枝花市农林科学研究院；单位市农林科学院内设科室14个。</w:t>
      </w:r>
    </w:p>
    <w:p w14:paraId="02192848">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eastAsia="楷体_GB2312" w:cs="楷体_GB2312"/>
          <w:b/>
          <w:sz w:val="32"/>
          <w:szCs w:val="32"/>
          <w:lang w:val="zh-CN"/>
        </w:rPr>
        <w:t>（二）机构职能</w:t>
      </w:r>
      <w:r>
        <w:rPr>
          <w:rFonts w:hint="eastAsia" w:eastAsia="楷体_GB2312" w:cs="楷体_GB2312"/>
          <w:b/>
          <w:sz w:val="32"/>
          <w:szCs w:val="32"/>
          <w:lang w:val="zh-CN"/>
        </w:rPr>
        <w:t>。</w:t>
      </w:r>
    </w:p>
    <w:p w14:paraId="16E662A8">
      <w:pPr>
        <w:widowControl/>
        <w:adjustRightInd w:val="0"/>
        <w:snapToGrid w:val="0"/>
        <w:spacing w:line="578" w:lineRule="exact"/>
        <w:ind w:firstLine="640" w:firstLineChars="200"/>
        <w:contextualSpacing/>
        <w:jc w:val="left"/>
        <w:rPr>
          <w:rFonts w:eastAsia="仿宋_GB2312" w:cs="仿宋_GB2312"/>
          <w:sz w:val="32"/>
          <w:szCs w:val="32"/>
        </w:rPr>
      </w:pPr>
      <w:r>
        <w:rPr>
          <w:rFonts w:hint="eastAsia" w:eastAsia="仿宋_GB2312" w:cs="仿宋_GB2312"/>
          <w:sz w:val="32"/>
          <w:szCs w:val="32"/>
        </w:rPr>
        <w:t>市农林科学院部门职能：围绕我市地方经济发展，承担农业、林业、水利等方面科学技术研究及技术推广应用工作。</w:t>
      </w:r>
    </w:p>
    <w:p w14:paraId="2BDB13B7">
      <w:pPr>
        <w:spacing w:line="600" w:lineRule="exact"/>
        <w:ind w:firstLine="643" w:firstLineChars="20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50E35268">
      <w:pPr>
        <w:spacing w:line="600" w:lineRule="exact"/>
        <w:ind w:firstLine="640" w:firstLineChars="200"/>
        <w:rPr>
          <w:szCs w:val="32"/>
        </w:rPr>
      </w:pPr>
      <w:r>
        <w:rPr>
          <w:rFonts w:eastAsia="仿宋_GB2312"/>
          <w:sz w:val="32"/>
          <w:szCs w:val="32"/>
        </w:rPr>
        <w:t>截至202</w:t>
      </w:r>
      <w:r>
        <w:rPr>
          <w:rFonts w:hint="eastAsia" w:eastAsia="仿宋_GB2312"/>
          <w:sz w:val="32"/>
          <w:szCs w:val="32"/>
        </w:rPr>
        <w:t>5</w:t>
      </w:r>
      <w:r>
        <w:rPr>
          <w:rFonts w:eastAsia="仿宋_GB2312"/>
          <w:sz w:val="32"/>
          <w:szCs w:val="32"/>
        </w:rPr>
        <w:t>年末，</w:t>
      </w:r>
      <w:r>
        <w:rPr>
          <w:rFonts w:hint="eastAsia" w:eastAsia="仿宋_GB2312" w:cs="仿宋_GB2312"/>
          <w:sz w:val="32"/>
          <w:szCs w:val="32"/>
        </w:rPr>
        <w:t>市农林科学院编制数127人</w:t>
      </w:r>
      <w:r>
        <w:rPr>
          <w:rFonts w:hint="eastAsia" w:eastAsia="仿宋_GB2312"/>
          <w:sz w:val="32"/>
          <w:szCs w:val="32"/>
        </w:rPr>
        <w:t>，</w:t>
      </w:r>
      <w:r>
        <w:rPr>
          <w:rFonts w:eastAsia="仿宋_GB2312"/>
          <w:sz w:val="32"/>
          <w:szCs w:val="32"/>
        </w:rPr>
        <w:t>年末实有人数</w:t>
      </w:r>
      <w:r>
        <w:rPr>
          <w:rFonts w:hint="eastAsia" w:eastAsia="仿宋_GB2312"/>
          <w:sz w:val="32"/>
          <w:szCs w:val="32"/>
        </w:rPr>
        <w:t>120人。</w:t>
      </w:r>
    </w:p>
    <w:p w14:paraId="4062D63C">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67E12658">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14:paraId="2E2CCDD9">
      <w:pPr>
        <w:widowControl/>
        <w:adjustRightInd w:val="0"/>
        <w:snapToGrid w:val="0"/>
        <w:spacing w:line="578" w:lineRule="exact"/>
        <w:ind w:firstLine="640" w:firstLineChars="200"/>
        <w:contextualSpacing/>
        <w:jc w:val="left"/>
        <w:rPr>
          <w:rFonts w:eastAsia="仿宋_GB2312" w:cs="仿宋_GB2312"/>
          <w:sz w:val="32"/>
          <w:szCs w:val="32"/>
        </w:rPr>
      </w:pPr>
      <w:r>
        <w:rPr>
          <w:rFonts w:hint="eastAsia" w:eastAsia="仿宋_GB2312" w:cs="仿宋_GB2312"/>
          <w:sz w:val="32"/>
          <w:szCs w:val="32"/>
        </w:rPr>
        <w:t>本年年初预算安排收入3131.13万元（其中一般公共预算拨款收入2931.13万元，事业收入200万元）。决算报表本年收入4104.9万元（其中一般公共预算财政拨款收入3614.66万元，事业收入170.87万元，其他收入319.37万元）。决算报表年初结转和结余120.17万元。</w:t>
      </w:r>
    </w:p>
    <w:p w14:paraId="4C38C7E9">
      <w:pPr>
        <w:widowControl/>
        <w:adjustRightInd w:val="0"/>
        <w:snapToGrid w:val="0"/>
        <w:spacing w:line="304" w:lineRule="auto"/>
        <w:ind w:firstLine="643" w:firstLineChars="200"/>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14:paraId="28A3C518">
      <w:pPr>
        <w:widowControl/>
        <w:adjustRightInd w:val="0"/>
        <w:snapToGrid w:val="0"/>
        <w:spacing w:line="578" w:lineRule="exact"/>
        <w:ind w:firstLine="640" w:firstLineChars="200"/>
        <w:contextualSpacing/>
        <w:jc w:val="left"/>
        <w:rPr>
          <w:rFonts w:eastAsia="仿宋_GB2312" w:cs="仿宋_GB2312"/>
          <w:sz w:val="32"/>
          <w:szCs w:val="32"/>
        </w:rPr>
      </w:pPr>
      <w:r>
        <w:rPr>
          <w:rFonts w:hint="eastAsia" w:eastAsia="仿宋_GB2312" w:cs="仿宋_GB2312"/>
          <w:sz w:val="32"/>
          <w:szCs w:val="32"/>
        </w:rPr>
        <w:t>本年年初预算安排支出</w:t>
      </w:r>
      <w:r>
        <w:rPr>
          <w:rFonts w:eastAsia="仿宋_GB2312" w:cs="仿宋_GB2312"/>
          <w:sz w:val="32"/>
          <w:szCs w:val="32"/>
        </w:rPr>
        <w:t>3131.13</w:t>
      </w:r>
      <w:r>
        <w:rPr>
          <w:rFonts w:hint="eastAsia" w:eastAsia="仿宋_GB2312" w:cs="仿宋_GB2312"/>
          <w:sz w:val="32"/>
          <w:szCs w:val="32"/>
        </w:rPr>
        <w:t>万元（其中人员经费支出</w:t>
      </w:r>
      <w:r>
        <w:rPr>
          <w:rFonts w:eastAsia="仿宋_GB2312" w:cs="仿宋_GB2312"/>
          <w:sz w:val="32"/>
          <w:szCs w:val="32"/>
        </w:rPr>
        <w:t>2603.46</w:t>
      </w:r>
      <w:r>
        <w:rPr>
          <w:rFonts w:hint="eastAsia" w:eastAsia="仿宋_GB2312" w:cs="仿宋_GB2312"/>
          <w:sz w:val="32"/>
          <w:szCs w:val="32"/>
        </w:rPr>
        <w:t>万元，公用经费支出</w:t>
      </w:r>
      <w:r>
        <w:rPr>
          <w:rFonts w:eastAsia="仿宋_GB2312" w:cs="仿宋_GB2312"/>
          <w:sz w:val="32"/>
          <w:szCs w:val="32"/>
        </w:rPr>
        <w:t>303.67</w:t>
      </w:r>
      <w:r>
        <w:rPr>
          <w:rFonts w:hint="eastAsia" w:eastAsia="仿宋_GB2312" w:cs="仿宋_GB2312"/>
          <w:sz w:val="32"/>
          <w:szCs w:val="32"/>
        </w:rPr>
        <w:t>万元，项目经费支出</w:t>
      </w:r>
      <w:r>
        <w:rPr>
          <w:rFonts w:eastAsia="仿宋_GB2312" w:cs="仿宋_GB2312"/>
          <w:sz w:val="32"/>
          <w:szCs w:val="32"/>
        </w:rPr>
        <w:t>224</w:t>
      </w:r>
      <w:r>
        <w:rPr>
          <w:rFonts w:hint="eastAsia" w:eastAsia="仿宋_GB2312" w:cs="仿宋_GB2312"/>
          <w:sz w:val="32"/>
          <w:szCs w:val="32"/>
        </w:rPr>
        <w:t>万元）。本年支出</w:t>
      </w:r>
      <w:r>
        <w:rPr>
          <w:rFonts w:eastAsia="仿宋_GB2312" w:cs="仿宋_GB2312"/>
          <w:sz w:val="32"/>
          <w:szCs w:val="32"/>
        </w:rPr>
        <w:t>4047.8</w:t>
      </w:r>
      <w:r>
        <w:rPr>
          <w:rFonts w:hint="eastAsia" w:eastAsia="仿宋_GB2312" w:cs="仿宋_GB2312"/>
          <w:sz w:val="32"/>
          <w:szCs w:val="32"/>
        </w:rPr>
        <w:t>万元（人员经费支出</w:t>
      </w:r>
      <w:r>
        <w:rPr>
          <w:rFonts w:eastAsia="仿宋_GB2312" w:cs="仿宋_GB2312"/>
          <w:sz w:val="32"/>
          <w:szCs w:val="32"/>
        </w:rPr>
        <w:t>2893.64</w:t>
      </w:r>
      <w:r>
        <w:rPr>
          <w:rFonts w:hint="eastAsia" w:eastAsia="仿宋_GB2312" w:cs="仿宋_GB2312"/>
          <w:sz w:val="32"/>
          <w:szCs w:val="32"/>
        </w:rPr>
        <w:t>万元，公用经费支出</w:t>
      </w:r>
      <w:r>
        <w:rPr>
          <w:rFonts w:eastAsia="仿宋_GB2312" w:cs="仿宋_GB2312"/>
          <w:sz w:val="32"/>
          <w:szCs w:val="32"/>
        </w:rPr>
        <w:t>244.55</w:t>
      </w:r>
      <w:r>
        <w:rPr>
          <w:rFonts w:hint="eastAsia" w:eastAsia="仿宋_GB2312" w:cs="仿宋_GB2312"/>
          <w:sz w:val="32"/>
          <w:szCs w:val="32"/>
        </w:rPr>
        <w:t>万元，项目经费支出</w:t>
      </w:r>
      <w:r>
        <w:rPr>
          <w:rFonts w:eastAsia="仿宋_GB2312" w:cs="仿宋_GB2312"/>
          <w:sz w:val="32"/>
          <w:szCs w:val="32"/>
        </w:rPr>
        <w:t>909.61</w:t>
      </w:r>
      <w:r>
        <w:rPr>
          <w:rFonts w:hint="eastAsia" w:eastAsia="仿宋_GB2312" w:cs="仿宋_GB2312"/>
          <w:sz w:val="32"/>
          <w:szCs w:val="32"/>
        </w:rPr>
        <w:t>万元）。基本支出保障单位基本运行，完成机构职能任务；项目经费保障项目按进度实施，完成项目进度任务。</w:t>
      </w:r>
    </w:p>
    <w:p w14:paraId="2AD42861">
      <w:pPr>
        <w:pStyle w:val="8"/>
        <w:adjustRightInd w:val="0"/>
        <w:snapToGrid w:val="0"/>
        <w:spacing w:line="360" w:lineRule="auto"/>
        <w:jc w:val="center"/>
        <w:rPr>
          <w:rFonts w:hint="eastAsia" w:ascii="Nimbus Roman No9 L" w:hAnsi="Nimbus Roman No9 L" w:eastAsia="仿宋" w:cs="仿宋"/>
          <w:b/>
          <w:bCs/>
          <w:sz w:val="21"/>
          <w:szCs w:val="21"/>
        </w:rPr>
      </w:pPr>
      <w:r>
        <w:rPr>
          <w:rFonts w:ascii="Nimbus Roman No9 L" w:hAnsi="Nimbus Roman No9 L" w:eastAsia="仿宋" w:cs="仿宋"/>
          <w:b/>
          <w:bCs/>
          <w:kern w:val="0"/>
          <w:sz w:val="21"/>
          <w:szCs w:val="21"/>
        </w:rPr>
        <w:t>2025</w:t>
      </w:r>
      <w:r>
        <w:rPr>
          <w:rFonts w:hint="eastAsia" w:ascii="Nimbus Roman No9 L" w:hAnsi="Nimbus Roman No9 L" w:eastAsia="仿宋" w:cs="仿宋"/>
          <w:b/>
          <w:bCs/>
          <w:kern w:val="0"/>
          <w:sz w:val="21"/>
          <w:szCs w:val="21"/>
        </w:rPr>
        <w:t>年预决算明细表</w:t>
      </w:r>
      <w:r>
        <w:rPr>
          <w:rFonts w:hint="eastAsia" w:ascii="Nimbus Roman No9 L" w:hAnsi="Nimbus Roman No9 L" w:eastAsia="仿宋" w:cs="仿宋"/>
          <w:b/>
          <w:bCs/>
          <w:sz w:val="21"/>
          <w:szCs w:val="21"/>
        </w:rPr>
        <w:t>单位：元</w:t>
      </w:r>
    </w:p>
    <w:tbl>
      <w:tblPr>
        <w:tblStyle w:val="18"/>
        <w:tblW w:w="8385" w:type="dxa"/>
        <w:jc w:val="center"/>
        <w:tblLayout w:type="fixed"/>
        <w:tblCellMar>
          <w:top w:w="0" w:type="dxa"/>
          <w:left w:w="108" w:type="dxa"/>
          <w:bottom w:w="0" w:type="dxa"/>
          <w:right w:w="108" w:type="dxa"/>
        </w:tblCellMar>
      </w:tblPr>
      <w:tblGrid>
        <w:gridCol w:w="2035"/>
        <w:gridCol w:w="1972"/>
        <w:gridCol w:w="1391"/>
        <w:gridCol w:w="1546"/>
        <w:gridCol w:w="1441"/>
      </w:tblGrid>
      <w:tr w14:paraId="0058C598">
        <w:tblPrEx>
          <w:tblCellMar>
            <w:top w:w="0" w:type="dxa"/>
            <w:left w:w="108" w:type="dxa"/>
            <w:bottom w:w="0" w:type="dxa"/>
            <w:right w:w="108" w:type="dxa"/>
          </w:tblCellMar>
        </w:tblPrEx>
        <w:trPr>
          <w:trHeight w:val="86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6EAE2CA1">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项目名称</w:t>
            </w:r>
          </w:p>
        </w:tc>
        <w:tc>
          <w:tcPr>
            <w:tcW w:w="1970" w:type="dxa"/>
            <w:tcBorders>
              <w:top w:val="single" w:color="000000" w:sz="4" w:space="0"/>
              <w:left w:val="single" w:color="000000" w:sz="4" w:space="0"/>
              <w:bottom w:val="single" w:color="000000" w:sz="4" w:space="0"/>
              <w:right w:val="single" w:color="000000" w:sz="4" w:space="0"/>
            </w:tcBorders>
            <w:vAlign w:val="center"/>
          </w:tcPr>
          <w:p w14:paraId="7F1B2EFE">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支出功能分类</w:t>
            </w:r>
          </w:p>
        </w:tc>
        <w:tc>
          <w:tcPr>
            <w:tcW w:w="1390" w:type="dxa"/>
            <w:tcBorders>
              <w:top w:val="single" w:color="000000" w:sz="4" w:space="0"/>
              <w:left w:val="single" w:color="000000" w:sz="4" w:space="0"/>
              <w:bottom w:val="single" w:color="000000" w:sz="4" w:space="0"/>
              <w:right w:val="single" w:color="000000" w:sz="4" w:space="0"/>
            </w:tcBorders>
            <w:vAlign w:val="center"/>
          </w:tcPr>
          <w:p w14:paraId="38365483">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全年收入预算及执行</w:t>
            </w:r>
          </w:p>
        </w:tc>
        <w:tc>
          <w:tcPr>
            <w:tcW w:w="1545" w:type="dxa"/>
            <w:tcBorders>
              <w:top w:val="single" w:color="000000" w:sz="4" w:space="0"/>
              <w:left w:val="single" w:color="000000" w:sz="4" w:space="0"/>
              <w:bottom w:val="single" w:color="000000" w:sz="4" w:space="0"/>
              <w:right w:val="single" w:color="000000" w:sz="4" w:space="0"/>
            </w:tcBorders>
            <w:vAlign w:val="center"/>
          </w:tcPr>
          <w:p w14:paraId="3588E7FE">
            <w:pPr>
              <w:widowControl/>
              <w:adjustRightInd w:val="0"/>
              <w:snapToGrid w:val="0"/>
              <w:jc w:val="center"/>
              <w:textAlignment w:val="center"/>
              <w:rPr>
                <w:rFonts w:hint="eastAsia" w:ascii="Nimbus Roman No9 L" w:hAnsi="Nimbus Roman No9 L" w:eastAsia="仿宋" w:cs="仿宋"/>
                <w:kern w:val="0"/>
                <w:szCs w:val="21"/>
              </w:rPr>
            </w:pPr>
            <w:r>
              <w:rPr>
                <w:rFonts w:hint="eastAsia" w:ascii="Nimbus Roman No9 L" w:hAnsi="Nimbus Roman No9 L" w:eastAsia="仿宋" w:cs="仿宋"/>
                <w:kern w:val="0"/>
                <w:szCs w:val="21"/>
              </w:rPr>
              <w:t>全年支出</w:t>
            </w:r>
          </w:p>
          <w:p w14:paraId="207207B9">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预算</w:t>
            </w:r>
          </w:p>
        </w:tc>
        <w:tc>
          <w:tcPr>
            <w:tcW w:w="1440" w:type="dxa"/>
            <w:tcBorders>
              <w:top w:val="single" w:color="000000" w:sz="4" w:space="0"/>
              <w:left w:val="single" w:color="000000" w:sz="4" w:space="0"/>
              <w:bottom w:val="single" w:color="000000" w:sz="4" w:space="0"/>
              <w:right w:val="single" w:color="000000" w:sz="4" w:space="0"/>
            </w:tcBorders>
            <w:vAlign w:val="center"/>
          </w:tcPr>
          <w:p w14:paraId="22F4FDF4">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全年支出预算执行</w:t>
            </w:r>
          </w:p>
        </w:tc>
      </w:tr>
      <w:tr w14:paraId="0C992373">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6537298">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四川省科技计划项目专项资金</w:t>
            </w:r>
          </w:p>
        </w:tc>
        <w:tc>
          <w:tcPr>
            <w:tcW w:w="1970" w:type="dxa"/>
            <w:tcBorders>
              <w:top w:val="single" w:color="000000" w:sz="4" w:space="0"/>
              <w:left w:val="single" w:color="000000" w:sz="4" w:space="0"/>
              <w:bottom w:val="single" w:color="000000" w:sz="4" w:space="0"/>
              <w:right w:val="single" w:color="000000" w:sz="4" w:space="0"/>
            </w:tcBorders>
            <w:vAlign w:val="center"/>
          </w:tcPr>
          <w:p w14:paraId="29D520E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2069999-</w:t>
            </w:r>
            <w:r>
              <w:rPr>
                <w:rFonts w:hint="eastAsia" w:ascii="Nimbus Roman No9 L" w:hAnsi="Nimbus Roman No9 L" w:eastAsia="仿宋" w:cs="仿宋"/>
                <w:szCs w:val="21"/>
              </w:rPr>
              <w:t>其他科学技术支出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5BF0016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140224.29</w:t>
            </w:r>
          </w:p>
        </w:tc>
        <w:tc>
          <w:tcPr>
            <w:tcW w:w="1545" w:type="dxa"/>
            <w:tcBorders>
              <w:top w:val="single" w:color="000000" w:sz="4" w:space="0"/>
              <w:left w:val="single" w:color="000000" w:sz="4" w:space="0"/>
              <w:bottom w:val="single" w:color="000000" w:sz="4" w:space="0"/>
              <w:right w:val="single" w:color="000000" w:sz="4" w:space="0"/>
            </w:tcBorders>
            <w:vAlign w:val="center"/>
          </w:tcPr>
          <w:p w14:paraId="68B7A59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140224.29</w:t>
            </w:r>
          </w:p>
        </w:tc>
        <w:tc>
          <w:tcPr>
            <w:tcW w:w="1440" w:type="dxa"/>
            <w:tcBorders>
              <w:top w:val="single" w:color="000000" w:sz="4" w:space="0"/>
              <w:left w:val="single" w:color="000000" w:sz="4" w:space="0"/>
              <w:bottom w:val="single" w:color="000000" w:sz="4" w:space="0"/>
              <w:right w:val="single" w:color="000000" w:sz="4" w:space="0"/>
            </w:tcBorders>
            <w:vAlign w:val="center"/>
          </w:tcPr>
          <w:p w14:paraId="69B28DFA">
            <w:pPr>
              <w:widowControl/>
              <w:adjustRightInd w:val="0"/>
              <w:snapToGrid w:val="0"/>
              <w:textAlignment w:val="center"/>
              <w:rPr>
                <w:rFonts w:hint="eastAsia" w:ascii="Nimbus Roman No9 L" w:hAnsi="Nimbus Roman No9 L" w:eastAsia="仿宋" w:cs="仿宋"/>
                <w:szCs w:val="21"/>
              </w:rPr>
            </w:pPr>
            <w:r>
              <w:rPr>
                <w:rFonts w:ascii="Nimbus Roman No9 L" w:hAnsi="Nimbus Roman No9 L" w:eastAsia="仿宋" w:cs="仿宋"/>
                <w:szCs w:val="21"/>
              </w:rPr>
              <w:t>140224.29</w:t>
            </w:r>
          </w:p>
        </w:tc>
      </w:tr>
      <w:tr w14:paraId="74D7653D">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4BF25252">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丧葬抚恤费</w:t>
            </w:r>
          </w:p>
        </w:tc>
        <w:tc>
          <w:tcPr>
            <w:tcW w:w="1970" w:type="dxa"/>
            <w:tcBorders>
              <w:top w:val="single" w:color="000000" w:sz="4" w:space="0"/>
              <w:left w:val="single" w:color="000000" w:sz="4" w:space="0"/>
              <w:bottom w:val="single" w:color="000000" w:sz="4" w:space="0"/>
              <w:right w:val="single" w:color="000000" w:sz="4" w:space="0"/>
            </w:tcBorders>
            <w:vAlign w:val="center"/>
          </w:tcPr>
          <w:p w14:paraId="255715A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2080801-</w:t>
            </w:r>
            <w:r>
              <w:rPr>
                <w:rFonts w:hint="eastAsia" w:ascii="Nimbus Roman No9 L" w:hAnsi="Nimbus Roman No9 L" w:eastAsia="仿宋" w:cs="仿宋"/>
                <w:szCs w:val="21"/>
              </w:rPr>
              <w:t>死亡抚恤</w:t>
            </w:r>
          </w:p>
        </w:tc>
        <w:tc>
          <w:tcPr>
            <w:tcW w:w="1390" w:type="dxa"/>
            <w:tcBorders>
              <w:top w:val="single" w:color="000000" w:sz="4" w:space="0"/>
              <w:left w:val="single" w:color="000000" w:sz="4" w:space="0"/>
              <w:bottom w:val="single" w:color="000000" w:sz="4" w:space="0"/>
              <w:right w:val="single" w:color="000000" w:sz="4" w:space="0"/>
            </w:tcBorders>
            <w:vAlign w:val="center"/>
          </w:tcPr>
          <w:p w14:paraId="0D3AD5D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418212.30</w:t>
            </w:r>
          </w:p>
        </w:tc>
        <w:tc>
          <w:tcPr>
            <w:tcW w:w="1545" w:type="dxa"/>
            <w:tcBorders>
              <w:top w:val="single" w:color="000000" w:sz="4" w:space="0"/>
              <w:left w:val="single" w:color="000000" w:sz="4" w:space="0"/>
              <w:bottom w:val="single" w:color="000000" w:sz="4" w:space="0"/>
              <w:right w:val="single" w:color="000000" w:sz="4" w:space="0"/>
            </w:tcBorders>
            <w:vAlign w:val="center"/>
          </w:tcPr>
          <w:p w14:paraId="2C2867B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418212.30</w:t>
            </w:r>
          </w:p>
        </w:tc>
        <w:tc>
          <w:tcPr>
            <w:tcW w:w="1440" w:type="dxa"/>
            <w:tcBorders>
              <w:top w:val="single" w:color="000000" w:sz="4" w:space="0"/>
              <w:left w:val="single" w:color="000000" w:sz="4" w:space="0"/>
              <w:bottom w:val="single" w:color="000000" w:sz="4" w:space="0"/>
              <w:right w:val="single" w:color="000000" w:sz="4" w:space="0"/>
            </w:tcBorders>
            <w:vAlign w:val="center"/>
          </w:tcPr>
          <w:p w14:paraId="49E2318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418212.30</w:t>
            </w:r>
          </w:p>
        </w:tc>
      </w:tr>
      <w:tr w14:paraId="66A57831">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27CC1FE8">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人才专项经费</w:t>
            </w:r>
          </w:p>
        </w:tc>
        <w:tc>
          <w:tcPr>
            <w:tcW w:w="1970" w:type="dxa"/>
            <w:tcBorders>
              <w:top w:val="single" w:color="000000" w:sz="4" w:space="0"/>
              <w:left w:val="single" w:color="000000" w:sz="4" w:space="0"/>
              <w:bottom w:val="single" w:color="000000" w:sz="4" w:space="0"/>
              <w:right w:val="single" w:color="000000" w:sz="4" w:space="0"/>
            </w:tcBorders>
            <w:vAlign w:val="center"/>
          </w:tcPr>
          <w:p w14:paraId="753FD51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2080199-</w:t>
            </w:r>
            <w:r>
              <w:rPr>
                <w:rFonts w:hint="eastAsia" w:ascii="Nimbus Roman No9 L" w:hAnsi="Nimbus Roman No9 L" w:eastAsia="仿宋" w:cs="仿宋"/>
                <w:szCs w:val="21"/>
              </w:rPr>
              <w:t>其他人力资源和社会保障管理事务支出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7DAAA022">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1324290.16</w:t>
            </w:r>
          </w:p>
        </w:tc>
        <w:tc>
          <w:tcPr>
            <w:tcW w:w="1545" w:type="dxa"/>
            <w:tcBorders>
              <w:top w:val="single" w:color="000000" w:sz="4" w:space="0"/>
              <w:left w:val="single" w:color="000000" w:sz="4" w:space="0"/>
              <w:bottom w:val="single" w:color="000000" w:sz="4" w:space="0"/>
              <w:right w:val="single" w:color="000000" w:sz="4" w:space="0"/>
            </w:tcBorders>
            <w:vAlign w:val="center"/>
          </w:tcPr>
          <w:p w14:paraId="0251F6E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1324290.16</w:t>
            </w:r>
          </w:p>
        </w:tc>
        <w:tc>
          <w:tcPr>
            <w:tcW w:w="1440" w:type="dxa"/>
            <w:tcBorders>
              <w:top w:val="single" w:color="000000" w:sz="4" w:space="0"/>
              <w:left w:val="single" w:color="000000" w:sz="4" w:space="0"/>
              <w:bottom w:val="single" w:color="000000" w:sz="4" w:space="0"/>
              <w:right w:val="single" w:color="000000" w:sz="4" w:space="0"/>
            </w:tcBorders>
            <w:vAlign w:val="center"/>
          </w:tcPr>
          <w:p w14:paraId="4BEA503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1324290.16</w:t>
            </w:r>
          </w:p>
        </w:tc>
      </w:tr>
      <w:tr w14:paraId="42C97F50">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1B678A81">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市级挂职干部补助</w:t>
            </w:r>
          </w:p>
        </w:tc>
        <w:tc>
          <w:tcPr>
            <w:tcW w:w="1970" w:type="dxa"/>
            <w:tcBorders>
              <w:top w:val="single" w:color="000000" w:sz="4" w:space="0"/>
              <w:left w:val="single" w:color="000000" w:sz="4" w:space="0"/>
              <w:bottom w:val="single" w:color="000000" w:sz="4" w:space="0"/>
              <w:right w:val="single" w:color="000000" w:sz="4" w:space="0"/>
            </w:tcBorders>
            <w:vAlign w:val="center"/>
          </w:tcPr>
          <w:p w14:paraId="558CF76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2013299-</w:t>
            </w:r>
            <w:r>
              <w:rPr>
                <w:rFonts w:hint="eastAsia" w:ascii="Nimbus Roman No9 L" w:hAnsi="Nimbus Roman No9 L" w:eastAsia="仿宋" w:cs="仿宋"/>
                <w:szCs w:val="21"/>
              </w:rPr>
              <w:t>其他组织事务支出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599A5C41">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70200</w:t>
            </w:r>
          </w:p>
        </w:tc>
        <w:tc>
          <w:tcPr>
            <w:tcW w:w="1545" w:type="dxa"/>
            <w:tcBorders>
              <w:top w:val="single" w:color="000000" w:sz="4" w:space="0"/>
              <w:left w:val="single" w:color="000000" w:sz="4" w:space="0"/>
              <w:bottom w:val="single" w:color="000000" w:sz="4" w:space="0"/>
              <w:right w:val="single" w:color="000000" w:sz="4" w:space="0"/>
            </w:tcBorders>
            <w:vAlign w:val="center"/>
          </w:tcPr>
          <w:p w14:paraId="274A084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70200</w:t>
            </w:r>
          </w:p>
        </w:tc>
        <w:tc>
          <w:tcPr>
            <w:tcW w:w="1440" w:type="dxa"/>
            <w:tcBorders>
              <w:top w:val="single" w:color="000000" w:sz="4" w:space="0"/>
              <w:left w:val="single" w:color="000000" w:sz="4" w:space="0"/>
              <w:bottom w:val="single" w:color="000000" w:sz="4" w:space="0"/>
              <w:right w:val="single" w:color="000000" w:sz="4" w:space="0"/>
            </w:tcBorders>
            <w:vAlign w:val="center"/>
          </w:tcPr>
          <w:p w14:paraId="6B945B2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70200</w:t>
            </w:r>
          </w:p>
        </w:tc>
      </w:tr>
      <w:tr w14:paraId="7D73F94A">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74AD3EF5">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乡村人才振兴五年行动专项资金（科技下乡万里行）</w:t>
            </w:r>
          </w:p>
        </w:tc>
        <w:tc>
          <w:tcPr>
            <w:tcW w:w="1970" w:type="dxa"/>
            <w:tcBorders>
              <w:top w:val="single" w:color="000000" w:sz="4" w:space="0"/>
              <w:left w:val="single" w:color="000000" w:sz="4" w:space="0"/>
              <w:bottom w:val="single" w:color="000000" w:sz="4" w:space="0"/>
              <w:right w:val="single" w:color="000000" w:sz="4" w:space="0"/>
            </w:tcBorders>
            <w:vAlign w:val="center"/>
          </w:tcPr>
          <w:p w14:paraId="143B347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2013299-</w:t>
            </w:r>
            <w:r>
              <w:rPr>
                <w:rFonts w:hint="eastAsia" w:ascii="Nimbus Roman No9 L" w:hAnsi="Nimbus Roman No9 L" w:eastAsia="仿宋" w:cs="仿宋"/>
                <w:szCs w:val="21"/>
              </w:rPr>
              <w:t>其他组织事务支出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681169E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86637.03</w:t>
            </w:r>
          </w:p>
        </w:tc>
        <w:tc>
          <w:tcPr>
            <w:tcW w:w="1545" w:type="dxa"/>
            <w:tcBorders>
              <w:top w:val="single" w:color="000000" w:sz="4" w:space="0"/>
              <w:left w:val="single" w:color="000000" w:sz="4" w:space="0"/>
              <w:bottom w:val="single" w:color="000000" w:sz="4" w:space="0"/>
              <w:right w:val="single" w:color="000000" w:sz="4" w:space="0"/>
            </w:tcBorders>
            <w:vAlign w:val="center"/>
          </w:tcPr>
          <w:p w14:paraId="70AE413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86637.03</w:t>
            </w:r>
          </w:p>
        </w:tc>
        <w:tc>
          <w:tcPr>
            <w:tcW w:w="1440" w:type="dxa"/>
            <w:tcBorders>
              <w:top w:val="single" w:color="000000" w:sz="4" w:space="0"/>
              <w:left w:val="single" w:color="000000" w:sz="4" w:space="0"/>
              <w:bottom w:val="single" w:color="000000" w:sz="4" w:space="0"/>
              <w:right w:val="single" w:color="000000" w:sz="4" w:space="0"/>
            </w:tcBorders>
            <w:vAlign w:val="center"/>
          </w:tcPr>
          <w:p w14:paraId="5BF9EC7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86637.03</w:t>
            </w:r>
          </w:p>
        </w:tc>
      </w:tr>
      <w:tr w14:paraId="4319301E">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09C1A0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2024</w:t>
            </w:r>
            <w:r>
              <w:rPr>
                <w:rFonts w:hint="eastAsia" w:ascii="Nimbus Roman No9 L" w:hAnsi="Nimbus Roman No9 L" w:eastAsia="仿宋" w:cs="仿宋"/>
                <w:szCs w:val="21"/>
              </w:rPr>
              <w:t>年中央财政林业草原专项资金（攀西林粮高效复合模式推广示范项目）</w:t>
            </w:r>
          </w:p>
        </w:tc>
        <w:tc>
          <w:tcPr>
            <w:tcW w:w="1970" w:type="dxa"/>
            <w:tcBorders>
              <w:top w:val="single" w:color="000000" w:sz="4" w:space="0"/>
              <w:left w:val="single" w:color="000000" w:sz="4" w:space="0"/>
              <w:bottom w:val="single" w:color="000000" w:sz="4" w:space="0"/>
              <w:right w:val="single" w:color="000000" w:sz="4" w:space="0"/>
            </w:tcBorders>
            <w:vAlign w:val="center"/>
          </w:tcPr>
          <w:p w14:paraId="18EB097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2130206-</w:t>
            </w:r>
            <w:r>
              <w:rPr>
                <w:rFonts w:hint="eastAsia" w:ascii="Nimbus Roman No9 L" w:hAnsi="Nimbus Roman No9 L" w:eastAsia="仿宋" w:cs="仿宋"/>
                <w:szCs w:val="21"/>
              </w:rPr>
              <w:t>技术推广与转化</w:t>
            </w:r>
          </w:p>
        </w:tc>
        <w:tc>
          <w:tcPr>
            <w:tcW w:w="1390" w:type="dxa"/>
            <w:tcBorders>
              <w:top w:val="single" w:color="000000" w:sz="4" w:space="0"/>
              <w:left w:val="single" w:color="000000" w:sz="4" w:space="0"/>
              <w:bottom w:val="single" w:color="000000" w:sz="4" w:space="0"/>
              <w:right w:val="single" w:color="000000" w:sz="4" w:space="0"/>
            </w:tcBorders>
            <w:vAlign w:val="center"/>
          </w:tcPr>
          <w:p w14:paraId="145B2B2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165798.18</w:t>
            </w:r>
          </w:p>
        </w:tc>
        <w:tc>
          <w:tcPr>
            <w:tcW w:w="1545" w:type="dxa"/>
            <w:tcBorders>
              <w:top w:val="single" w:color="000000" w:sz="4" w:space="0"/>
              <w:left w:val="single" w:color="000000" w:sz="4" w:space="0"/>
              <w:bottom w:val="single" w:color="000000" w:sz="4" w:space="0"/>
              <w:right w:val="single" w:color="000000" w:sz="4" w:space="0"/>
            </w:tcBorders>
            <w:vAlign w:val="center"/>
          </w:tcPr>
          <w:p w14:paraId="7DB686B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165798.18</w:t>
            </w:r>
          </w:p>
        </w:tc>
        <w:tc>
          <w:tcPr>
            <w:tcW w:w="1440" w:type="dxa"/>
            <w:tcBorders>
              <w:top w:val="single" w:color="000000" w:sz="4" w:space="0"/>
              <w:left w:val="single" w:color="000000" w:sz="4" w:space="0"/>
              <w:bottom w:val="single" w:color="000000" w:sz="4" w:space="0"/>
              <w:right w:val="single" w:color="000000" w:sz="4" w:space="0"/>
            </w:tcBorders>
            <w:vAlign w:val="center"/>
          </w:tcPr>
          <w:p w14:paraId="79ADE26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165798.18</w:t>
            </w:r>
          </w:p>
        </w:tc>
      </w:tr>
      <w:tr w14:paraId="15DED815">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117B7354">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生态功能区转移支付项目</w:t>
            </w:r>
          </w:p>
        </w:tc>
        <w:tc>
          <w:tcPr>
            <w:tcW w:w="1970" w:type="dxa"/>
            <w:tcBorders>
              <w:top w:val="single" w:color="000000" w:sz="4" w:space="0"/>
              <w:left w:val="single" w:color="000000" w:sz="4" w:space="0"/>
              <w:bottom w:val="single" w:color="000000" w:sz="4" w:space="0"/>
              <w:right w:val="single" w:color="000000" w:sz="4" w:space="0"/>
            </w:tcBorders>
            <w:vAlign w:val="center"/>
          </w:tcPr>
          <w:p w14:paraId="51131C8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2130299-</w:t>
            </w:r>
            <w:r>
              <w:rPr>
                <w:rFonts w:hint="eastAsia" w:ascii="Nimbus Roman No9 L" w:hAnsi="Nimbus Roman No9 L" w:eastAsia="仿宋" w:cs="仿宋"/>
                <w:szCs w:val="21"/>
              </w:rPr>
              <w:t>其他林业和草原支出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27F76EE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138377.23</w:t>
            </w:r>
          </w:p>
        </w:tc>
        <w:tc>
          <w:tcPr>
            <w:tcW w:w="1545" w:type="dxa"/>
            <w:tcBorders>
              <w:top w:val="single" w:color="000000" w:sz="4" w:space="0"/>
              <w:left w:val="single" w:color="000000" w:sz="4" w:space="0"/>
              <w:bottom w:val="single" w:color="000000" w:sz="4" w:space="0"/>
              <w:right w:val="single" w:color="000000" w:sz="4" w:space="0"/>
            </w:tcBorders>
            <w:vAlign w:val="center"/>
          </w:tcPr>
          <w:p w14:paraId="3A4A626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138377.23</w:t>
            </w:r>
          </w:p>
        </w:tc>
        <w:tc>
          <w:tcPr>
            <w:tcW w:w="1440" w:type="dxa"/>
            <w:tcBorders>
              <w:top w:val="single" w:color="000000" w:sz="4" w:space="0"/>
              <w:left w:val="single" w:color="000000" w:sz="4" w:space="0"/>
              <w:bottom w:val="single" w:color="000000" w:sz="4" w:space="0"/>
              <w:right w:val="single" w:color="000000" w:sz="4" w:space="0"/>
            </w:tcBorders>
            <w:vAlign w:val="center"/>
          </w:tcPr>
          <w:p w14:paraId="0919882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138377.23</w:t>
            </w:r>
          </w:p>
        </w:tc>
      </w:tr>
      <w:tr w14:paraId="66E3B7CC">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7CFD3146">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“三区””科技人才支持计划</w:t>
            </w:r>
          </w:p>
        </w:tc>
        <w:tc>
          <w:tcPr>
            <w:tcW w:w="1970" w:type="dxa"/>
            <w:tcBorders>
              <w:top w:val="single" w:color="000000" w:sz="4" w:space="0"/>
              <w:left w:val="single" w:color="000000" w:sz="4" w:space="0"/>
              <w:bottom w:val="single" w:color="000000" w:sz="4" w:space="0"/>
              <w:right w:val="single" w:color="000000" w:sz="4" w:space="0"/>
            </w:tcBorders>
            <w:vAlign w:val="center"/>
          </w:tcPr>
          <w:p w14:paraId="12DCE7F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2069999-</w:t>
            </w:r>
            <w:r>
              <w:rPr>
                <w:rFonts w:hint="eastAsia" w:ascii="Nimbus Roman No9 L" w:hAnsi="Nimbus Roman No9 L" w:eastAsia="仿宋" w:cs="仿宋"/>
                <w:szCs w:val="21"/>
              </w:rPr>
              <w:t>其他科学技术支出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31EAB94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9415</w:t>
            </w:r>
          </w:p>
        </w:tc>
        <w:tc>
          <w:tcPr>
            <w:tcW w:w="1545" w:type="dxa"/>
            <w:tcBorders>
              <w:top w:val="single" w:color="000000" w:sz="4" w:space="0"/>
              <w:left w:val="single" w:color="000000" w:sz="4" w:space="0"/>
              <w:bottom w:val="single" w:color="000000" w:sz="4" w:space="0"/>
              <w:right w:val="single" w:color="000000" w:sz="4" w:space="0"/>
            </w:tcBorders>
            <w:vAlign w:val="center"/>
          </w:tcPr>
          <w:p w14:paraId="6C183E9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9415</w:t>
            </w:r>
          </w:p>
        </w:tc>
        <w:tc>
          <w:tcPr>
            <w:tcW w:w="1440" w:type="dxa"/>
            <w:tcBorders>
              <w:top w:val="single" w:color="000000" w:sz="4" w:space="0"/>
              <w:left w:val="single" w:color="000000" w:sz="4" w:space="0"/>
              <w:bottom w:val="single" w:color="000000" w:sz="4" w:space="0"/>
              <w:right w:val="single" w:color="000000" w:sz="4" w:space="0"/>
            </w:tcBorders>
            <w:vAlign w:val="center"/>
          </w:tcPr>
          <w:p w14:paraId="6C7D51F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9415</w:t>
            </w:r>
          </w:p>
        </w:tc>
      </w:tr>
      <w:tr w14:paraId="02946326">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497993AA">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退休人员一次性补贴</w:t>
            </w:r>
          </w:p>
        </w:tc>
        <w:tc>
          <w:tcPr>
            <w:tcW w:w="1970" w:type="dxa"/>
            <w:tcBorders>
              <w:top w:val="single" w:color="000000" w:sz="4" w:space="0"/>
              <w:left w:val="single" w:color="000000" w:sz="4" w:space="0"/>
              <w:bottom w:val="single" w:color="000000" w:sz="4" w:space="0"/>
              <w:right w:val="single" w:color="000000" w:sz="4" w:space="0"/>
            </w:tcBorders>
            <w:vAlign w:val="center"/>
          </w:tcPr>
          <w:p w14:paraId="75BA273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2080502-</w:t>
            </w:r>
            <w:r>
              <w:rPr>
                <w:rFonts w:hint="eastAsia" w:ascii="Nimbus Roman No9 L" w:hAnsi="Nimbus Roman No9 L" w:eastAsia="仿宋" w:cs="仿宋"/>
                <w:szCs w:val="21"/>
              </w:rPr>
              <w:t>事业单位离退休</w:t>
            </w:r>
          </w:p>
        </w:tc>
        <w:tc>
          <w:tcPr>
            <w:tcW w:w="1390" w:type="dxa"/>
            <w:tcBorders>
              <w:top w:val="single" w:color="000000" w:sz="4" w:space="0"/>
              <w:left w:val="single" w:color="000000" w:sz="4" w:space="0"/>
              <w:bottom w:val="single" w:color="000000" w:sz="4" w:space="0"/>
              <w:right w:val="single" w:color="000000" w:sz="4" w:space="0"/>
            </w:tcBorders>
            <w:vAlign w:val="center"/>
          </w:tcPr>
          <w:p w14:paraId="389001B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39936</w:t>
            </w:r>
          </w:p>
        </w:tc>
        <w:tc>
          <w:tcPr>
            <w:tcW w:w="1545" w:type="dxa"/>
            <w:tcBorders>
              <w:top w:val="single" w:color="000000" w:sz="4" w:space="0"/>
              <w:left w:val="single" w:color="000000" w:sz="4" w:space="0"/>
              <w:bottom w:val="single" w:color="000000" w:sz="4" w:space="0"/>
              <w:right w:val="single" w:color="000000" w:sz="4" w:space="0"/>
            </w:tcBorders>
            <w:vAlign w:val="center"/>
          </w:tcPr>
          <w:p w14:paraId="2B2586C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39936</w:t>
            </w:r>
          </w:p>
        </w:tc>
        <w:tc>
          <w:tcPr>
            <w:tcW w:w="1440" w:type="dxa"/>
            <w:tcBorders>
              <w:top w:val="single" w:color="000000" w:sz="4" w:space="0"/>
              <w:left w:val="single" w:color="000000" w:sz="4" w:space="0"/>
              <w:bottom w:val="single" w:color="000000" w:sz="4" w:space="0"/>
              <w:right w:val="single" w:color="000000" w:sz="4" w:space="0"/>
            </w:tcBorders>
            <w:vAlign w:val="center"/>
          </w:tcPr>
          <w:p w14:paraId="0E50170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39936</w:t>
            </w:r>
          </w:p>
        </w:tc>
      </w:tr>
      <w:tr w14:paraId="17BA589D">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7BF7ED6E">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国家现代农业产业技术体系四川创新团队建设专项资金</w:t>
            </w:r>
          </w:p>
        </w:tc>
        <w:tc>
          <w:tcPr>
            <w:tcW w:w="1970" w:type="dxa"/>
            <w:tcBorders>
              <w:top w:val="single" w:color="000000" w:sz="4" w:space="0"/>
              <w:left w:val="single" w:color="000000" w:sz="4" w:space="0"/>
              <w:bottom w:val="single" w:color="000000" w:sz="4" w:space="0"/>
              <w:right w:val="single" w:color="000000" w:sz="4" w:space="0"/>
            </w:tcBorders>
            <w:vAlign w:val="center"/>
          </w:tcPr>
          <w:p w14:paraId="39ADD591">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2060302-</w:t>
            </w:r>
            <w:r>
              <w:rPr>
                <w:rFonts w:hint="eastAsia" w:ascii="Nimbus Roman No9 L" w:hAnsi="Nimbus Roman No9 L" w:eastAsia="仿宋" w:cs="仿宋"/>
                <w:szCs w:val="21"/>
              </w:rPr>
              <w:t>社会公益研究</w:t>
            </w:r>
          </w:p>
        </w:tc>
        <w:tc>
          <w:tcPr>
            <w:tcW w:w="1390" w:type="dxa"/>
            <w:tcBorders>
              <w:top w:val="single" w:color="000000" w:sz="4" w:space="0"/>
              <w:left w:val="single" w:color="000000" w:sz="4" w:space="0"/>
              <w:bottom w:val="single" w:color="000000" w:sz="4" w:space="0"/>
              <w:right w:val="single" w:color="000000" w:sz="4" w:space="0"/>
            </w:tcBorders>
            <w:vAlign w:val="center"/>
          </w:tcPr>
          <w:p w14:paraId="4EEE7152">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635186.28</w:t>
            </w:r>
          </w:p>
        </w:tc>
        <w:tc>
          <w:tcPr>
            <w:tcW w:w="1545" w:type="dxa"/>
            <w:tcBorders>
              <w:top w:val="single" w:color="000000" w:sz="4" w:space="0"/>
              <w:left w:val="single" w:color="000000" w:sz="4" w:space="0"/>
              <w:bottom w:val="single" w:color="000000" w:sz="4" w:space="0"/>
              <w:right w:val="single" w:color="000000" w:sz="4" w:space="0"/>
            </w:tcBorders>
            <w:vAlign w:val="center"/>
          </w:tcPr>
          <w:p w14:paraId="70E891D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635186.28</w:t>
            </w:r>
          </w:p>
        </w:tc>
        <w:tc>
          <w:tcPr>
            <w:tcW w:w="1440" w:type="dxa"/>
            <w:tcBorders>
              <w:top w:val="single" w:color="000000" w:sz="4" w:space="0"/>
              <w:left w:val="single" w:color="000000" w:sz="4" w:space="0"/>
              <w:bottom w:val="single" w:color="000000" w:sz="4" w:space="0"/>
              <w:right w:val="single" w:color="000000" w:sz="4" w:space="0"/>
            </w:tcBorders>
            <w:vAlign w:val="center"/>
          </w:tcPr>
          <w:p w14:paraId="212A8FE4">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635186.28</w:t>
            </w:r>
          </w:p>
        </w:tc>
      </w:tr>
      <w:tr w14:paraId="6F3E4FBF">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B53B83F">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省级财政农业改革创新科技示范奖补专项资金</w:t>
            </w:r>
          </w:p>
        </w:tc>
        <w:tc>
          <w:tcPr>
            <w:tcW w:w="1970" w:type="dxa"/>
            <w:tcBorders>
              <w:top w:val="single" w:color="000000" w:sz="4" w:space="0"/>
              <w:left w:val="single" w:color="000000" w:sz="4" w:space="0"/>
              <w:bottom w:val="single" w:color="000000" w:sz="4" w:space="0"/>
              <w:right w:val="single" w:color="000000" w:sz="4" w:space="0"/>
            </w:tcBorders>
            <w:vAlign w:val="center"/>
          </w:tcPr>
          <w:p w14:paraId="24D3778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2130106-</w:t>
            </w:r>
            <w:r>
              <w:rPr>
                <w:rFonts w:hint="eastAsia" w:ascii="Nimbus Roman No9 L" w:hAnsi="Nimbus Roman No9 L" w:eastAsia="仿宋" w:cs="仿宋"/>
                <w:szCs w:val="21"/>
              </w:rPr>
              <w:t>科技转化与推广服务</w:t>
            </w:r>
          </w:p>
        </w:tc>
        <w:tc>
          <w:tcPr>
            <w:tcW w:w="1390" w:type="dxa"/>
            <w:tcBorders>
              <w:top w:val="single" w:color="000000" w:sz="4" w:space="0"/>
              <w:left w:val="single" w:color="000000" w:sz="4" w:space="0"/>
              <w:bottom w:val="single" w:color="000000" w:sz="4" w:space="0"/>
              <w:right w:val="single" w:color="000000" w:sz="4" w:space="0"/>
            </w:tcBorders>
            <w:vAlign w:val="center"/>
          </w:tcPr>
          <w:p w14:paraId="7F0C05A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661904.18</w:t>
            </w:r>
          </w:p>
        </w:tc>
        <w:tc>
          <w:tcPr>
            <w:tcW w:w="1545" w:type="dxa"/>
            <w:tcBorders>
              <w:top w:val="single" w:color="000000" w:sz="4" w:space="0"/>
              <w:left w:val="single" w:color="000000" w:sz="4" w:space="0"/>
              <w:bottom w:val="single" w:color="000000" w:sz="4" w:space="0"/>
              <w:right w:val="single" w:color="000000" w:sz="4" w:space="0"/>
            </w:tcBorders>
            <w:vAlign w:val="center"/>
          </w:tcPr>
          <w:p w14:paraId="00A85C8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661904.18</w:t>
            </w:r>
          </w:p>
        </w:tc>
        <w:tc>
          <w:tcPr>
            <w:tcW w:w="1440" w:type="dxa"/>
            <w:tcBorders>
              <w:top w:val="single" w:color="000000" w:sz="4" w:space="0"/>
              <w:left w:val="single" w:color="000000" w:sz="4" w:space="0"/>
              <w:bottom w:val="single" w:color="000000" w:sz="4" w:space="0"/>
              <w:right w:val="single" w:color="000000" w:sz="4" w:space="0"/>
            </w:tcBorders>
            <w:vAlign w:val="center"/>
          </w:tcPr>
          <w:p w14:paraId="65D43C4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661904.18</w:t>
            </w:r>
          </w:p>
        </w:tc>
      </w:tr>
      <w:tr w14:paraId="713868FB">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248264C2">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2025</w:t>
            </w:r>
            <w:r>
              <w:rPr>
                <w:rFonts w:hint="eastAsia" w:ascii="Nimbus Roman No9 L" w:hAnsi="Nimbus Roman No9 L" w:eastAsia="仿宋" w:cs="仿宋"/>
                <w:szCs w:val="21"/>
              </w:rPr>
              <w:t>年农业技术推广成本性支出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7484F2D4">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2130106-</w:t>
            </w:r>
            <w:r>
              <w:rPr>
                <w:rFonts w:hint="eastAsia" w:ascii="Nimbus Roman No9 L" w:hAnsi="Nimbus Roman No9 L" w:eastAsia="仿宋" w:cs="仿宋"/>
                <w:szCs w:val="21"/>
              </w:rPr>
              <w:t>科技转化与推广服务</w:t>
            </w:r>
          </w:p>
        </w:tc>
        <w:tc>
          <w:tcPr>
            <w:tcW w:w="1390" w:type="dxa"/>
            <w:tcBorders>
              <w:top w:val="single" w:color="000000" w:sz="4" w:space="0"/>
              <w:left w:val="single" w:color="000000" w:sz="4" w:space="0"/>
              <w:bottom w:val="single" w:color="000000" w:sz="4" w:space="0"/>
              <w:right w:val="single" w:color="000000" w:sz="4" w:space="0"/>
            </w:tcBorders>
            <w:vAlign w:val="center"/>
          </w:tcPr>
          <w:p w14:paraId="78254612">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239843.94</w:t>
            </w:r>
          </w:p>
        </w:tc>
        <w:tc>
          <w:tcPr>
            <w:tcW w:w="1545" w:type="dxa"/>
            <w:tcBorders>
              <w:top w:val="single" w:color="000000" w:sz="4" w:space="0"/>
              <w:left w:val="single" w:color="000000" w:sz="4" w:space="0"/>
              <w:bottom w:val="single" w:color="000000" w:sz="4" w:space="0"/>
              <w:right w:val="single" w:color="000000" w:sz="4" w:space="0"/>
            </w:tcBorders>
            <w:vAlign w:val="center"/>
          </w:tcPr>
          <w:p w14:paraId="55DBA16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239843.94</w:t>
            </w:r>
          </w:p>
        </w:tc>
        <w:tc>
          <w:tcPr>
            <w:tcW w:w="1440" w:type="dxa"/>
            <w:tcBorders>
              <w:top w:val="single" w:color="000000" w:sz="4" w:space="0"/>
              <w:left w:val="single" w:color="000000" w:sz="4" w:space="0"/>
              <w:bottom w:val="single" w:color="000000" w:sz="4" w:space="0"/>
              <w:right w:val="single" w:color="000000" w:sz="4" w:space="0"/>
            </w:tcBorders>
            <w:vAlign w:val="center"/>
          </w:tcPr>
          <w:p w14:paraId="2EAF0C4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239843.94</w:t>
            </w:r>
          </w:p>
        </w:tc>
      </w:tr>
      <w:tr w14:paraId="1173BE45">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6C15813D">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高品质番茄科技成果转化示范基地建设</w:t>
            </w:r>
          </w:p>
        </w:tc>
        <w:tc>
          <w:tcPr>
            <w:tcW w:w="1970" w:type="dxa"/>
            <w:tcBorders>
              <w:top w:val="single" w:color="000000" w:sz="4" w:space="0"/>
              <w:left w:val="single" w:color="000000" w:sz="4" w:space="0"/>
              <w:bottom w:val="single" w:color="000000" w:sz="4" w:space="0"/>
              <w:right w:val="single" w:color="000000" w:sz="4" w:space="0"/>
            </w:tcBorders>
            <w:vAlign w:val="center"/>
          </w:tcPr>
          <w:p w14:paraId="4662D91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2130106-</w:t>
            </w:r>
            <w:r>
              <w:rPr>
                <w:rFonts w:hint="eastAsia" w:ascii="Nimbus Roman No9 L" w:hAnsi="Nimbus Roman No9 L" w:eastAsia="仿宋" w:cs="仿宋"/>
                <w:szCs w:val="21"/>
              </w:rPr>
              <w:t>科技转化与推广服务</w:t>
            </w:r>
          </w:p>
        </w:tc>
        <w:tc>
          <w:tcPr>
            <w:tcW w:w="1390" w:type="dxa"/>
            <w:tcBorders>
              <w:top w:val="single" w:color="000000" w:sz="4" w:space="0"/>
              <w:left w:val="single" w:color="000000" w:sz="4" w:space="0"/>
              <w:bottom w:val="single" w:color="000000" w:sz="4" w:space="0"/>
              <w:right w:val="single" w:color="000000" w:sz="4" w:space="0"/>
            </w:tcBorders>
            <w:vAlign w:val="center"/>
          </w:tcPr>
          <w:p w14:paraId="2EC9FE5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w:t>
            </w:r>
          </w:p>
        </w:tc>
        <w:tc>
          <w:tcPr>
            <w:tcW w:w="1545" w:type="dxa"/>
            <w:tcBorders>
              <w:top w:val="single" w:color="000000" w:sz="4" w:space="0"/>
              <w:left w:val="single" w:color="000000" w:sz="4" w:space="0"/>
              <w:bottom w:val="single" w:color="000000" w:sz="4" w:space="0"/>
              <w:right w:val="single" w:color="000000" w:sz="4" w:space="0"/>
            </w:tcBorders>
            <w:vAlign w:val="center"/>
          </w:tcPr>
          <w:p w14:paraId="3F9527B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w:t>
            </w:r>
          </w:p>
        </w:tc>
        <w:tc>
          <w:tcPr>
            <w:tcW w:w="1440" w:type="dxa"/>
            <w:tcBorders>
              <w:top w:val="single" w:color="000000" w:sz="4" w:space="0"/>
              <w:left w:val="single" w:color="000000" w:sz="4" w:space="0"/>
              <w:bottom w:val="single" w:color="000000" w:sz="4" w:space="0"/>
              <w:right w:val="single" w:color="000000" w:sz="4" w:space="0"/>
            </w:tcBorders>
            <w:vAlign w:val="center"/>
          </w:tcPr>
          <w:p w14:paraId="6AF6307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w:t>
            </w:r>
          </w:p>
        </w:tc>
      </w:tr>
      <w:tr w14:paraId="47ACC3BF">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33850901">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种业振兴与特色优势产业培育</w:t>
            </w:r>
          </w:p>
        </w:tc>
        <w:tc>
          <w:tcPr>
            <w:tcW w:w="1970" w:type="dxa"/>
            <w:tcBorders>
              <w:top w:val="single" w:color="000000" w:sz="4" w:space="0"/>
              <w:left w:val="single" w:color="000000" w:sz="4" w:space="0"/>
              <w:bottom w:val="single" w:color="000000" w:sz="4" w:space="0"/>
              <w:right w:val="single" w:color="000000" w:sz="4" w:space="0"/>
            </w:tcBorders>
            <w:vAlign w:val="center"/>
          </w:tcPr>
          <w:p w14:paraId="62236A1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2130599-</w:t>
            </w:r>
            <w:r>
              <w:rPr>
                <w:rFonts w:hint="eastAsia" w:ascii="Nimbus Roman No9 L" w:hAnsi="Nimbus Roman No9 L" w:eastAsia="仿宋" w:cs="仿宋"/>
                <w:szCs w:val="21"/>
              </w:rPr>
              <w:t>其他巩固脱贫攻坚成果衔接乡村振兴支出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4A61716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1500000</w:t>
            </w:r>
          </w:p>
        </w:tc>
        <w:tc>
          <w:tcPr>
            <w:tcW w:w="1545" w:type="dxa"/>
            <w:tcBorders>
              <w:top w:val="single" w:color="000000" w:sz="4" w:space="0"/>
              <w:left w:val="single" w:color="000000" w:sz="4" w:space="0"/>
              <w:bottom w:val="single" w:color="000000" w:sz="4" w:space="0"/>
              <w:right w:val="single" w:color="000000" w:sz="4" w:space="0"/>
            </w:tcBorders>
            <w:vAlign w:val="center"/>
          </w:tcPr>
          <w:p w14:paraId="7C0DA1E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1500000</w:t>
            </w:r>
          </w:p>
        </w:tc>
        <w:tc>
          <w:tcPr>
            <w:tcW w:w="1440" w:type="dxa"/>
            <w:tcBorders>
              <w:top w:val="single" w:color="000000" w:sz="4" w:space="0"/>
              <w:left w:val="single" w:color="000000" w:sz="4" w:space="0"/>
              <w:bottom w:val="single" w:color="000000" w:sz="4" w:space="0"/>
              <w:right w:val="single" w:color="000000" w:sz="4" w:space="0"/>
            </w:tcBorders>
            <w:vAlign w:val="center"/>
          </w:tcPr>
          <w:p w14:paraId="17AABF0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1500000</w:t>
            </w:r>
          </w:p>
        </w:tc>
      </w:tr>
      <w:tr w14:paraId="32786E3F">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DA94BB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2025</w:t>
            </w:r>
            <w:r>
              <w:rPr>
                <w:rFonts w:hint="eastAsia" w:ascii="Nimbus Roman No9 L" w:hAnsi="Nimbus Roman No9 L" w:eastAsia="仿宋" w:cs="仿宋"/>
                <w:szCs w:val="21"/>
              </w:rPr>
              <w:t>年生态功能区转移支付资金</w:t>
            </w:r>
          </w:p>
        </w:tc>
        <w:tc>
          <w:tcPr>
            <w:tcW w:w="1970" w:type="dxa"/>
            <w:tcBorders>
              <w:top w:val="single" w:color="000000" w:sz="4" w:space="0"/>
              <w:left w:val="single" w:color="000000" w:sz="4" w:space="0"/>
              <w:bottom w:val="single" w:color="000000" w:sz="4" w:space="0"/>
              <w:right w:val="single" w:color="000000" w:sz="4" w:space="0"/>
            </w:tcBorders>
            <w:vAlign w:val="center"/>
          </w:tcPr>
          <w:p w14:paraId="4D5597F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2299999-</w:t>
            </w:r>
            <w:r>
              <w:rPr>
                <w:rFonts w:hint="eastAsia" w:ascii="Nimbus Roman No9 L" w:hAnsi="Nimbus Roman No9 L" w:eastAsia="仿宋" w:cs="仿宋"/>
                <w:szCs w:val="21"/>
              </w:rPr>
              <w:t>其他支出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2AB6A884">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852933.16</w:t>
            </w:r>
          </w:p>
        </w:tc>
        <w:tc>
          <w:tcPr>
            <w:tcW w:w="1545" w:type="dxa"/>
            <w:tcBorders>
              <w:top w:val="single" w:color="000000" w:sz="4" w:space="0"/>
              <w:left w:val="single" w:color="000000" w:sz="4" w:space="0"/>
              <w:bottom w:val="single" w:color="000000" w:sz="4" w:space="0"/>
              <w:right w:val="single" w:color="000000" w:sz="4" w:space="0"/>
            </w:tcBorders>
            <w:vAlign w:val="center"/>
          </w:tcPr>
          <w:p w14:paraId="41C4906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852933.16</w:t>
            </w:r>
          </w:p>
        </w:tc>
        <w:tc>
          <w:tcPr>
            <w:tcW w:w="1440" w:type="dxa"/>
            <w:tcBorders>
              <w:top w:val="single" w:color="000000" w:sz="4" w:space="0"/>
              <w:left w:val="single" w:color="000000" w:sz="4" w:space="0"/>
              <w:bottom w:val="single" w:color="000000" w:sz="4" w:space="0"/>
              <w:right w:val="single" w:color="000000" w:sz="4" w:space="0"/>
            </w:tcBorders>
            <w:vAlign w:val="center"/>
          </w:tcPr>
          <w:p w14:paraId="1310FF5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852933.16</w:t>
            </w:r>
          </w:p>
        </w:tc>
      </w:tr>
      <w:tr w14:paraId="6E7F8654">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7280478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2025</w:t>
            </w:r>
            <w:r>
              <w:rPr>
                <w:rFonts w:hint="eastAsia" w:ascii="Nimbus Roman No9 L" w:hAnsi="Nimbus Roman No9 L" w:eastAsia="仿宋" w:cs="仿宋"/>
                <w:szCs w:val="21"/>
              </w:rPr>
              <w:t>年科技下乡万里行</w:t>
            </w:r>
          </w:p>
        </w:tc>
        <w:tc>
          <w:tcPr>
            <w:tcW w:w="1970" w:type="dxa"/>
            <w:tcBorders>
              <w:top w:val="single" w:color="000000" w:sz="4" w:space="0"/>
              <w:left w:val="single" w:color="000000" w:sz="4" w:space="0"/>
              <w:bottom w:val="single" w:color="000000" w:sz="4" w:space="0"/>
              <w:right w:val="single" w:color="000000" w:sz="4" w:space="0"/>
            </w:tcBorders>
            <w:vAlign w:val="center"/>
          </w:tcPr>
          <w:p w14:paraId="405F060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2013299-</w:t>
            </w:r>
            <w:r>
              <w:rPr>
                <w:rFonts w:hint="eastAsia" w:ascii="Nimbus Roman No9 L" w:hAnsi="Nimbus Roman No9 L" w:eastAsia="仿宋" w:cs="仿宋"/>
                <w:szCs w:val="21"/>
              </w:rPr>
              <w:t>其他组织事务支出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4454F37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88401.83</w:t>
            </w:r>
          </w:p>
        </w:tc>
        <w:tc>
          <w:tcPr>
            <w:tcW w:w="1545" w:type="dxa"/>
            <w:tcBorders>
              <w:top w:val="single" w:color="000000" w:sz="4" w:space="0"/>
              <w:left w:val="single" w:color="000000" w:sz="4" w:space="0"/>
              <w:bottom w:val="single" w:color="000000" w:sz="4" w:space="0"/>
              <w:right w:val="single" w:color="000000" w:sz="4" w:space="0"/>
            </w:tcBorders>
            <w:vAlign w:val="center"/>
          </w:tcPr>
          <w:p w14:paraId="12161D1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88401.83</w:t>
            </w:r>
          </w:p>
        </w:tc>
        <w:tc>
          <w:tcPr>
            <w:tcW w:w="1440" w:type="dxa"/>
            <w:tcBorders>
              <w:top w:val="single" w:color="000000" w:sz="4" w:space="0"/>
              <w:left w:val="single" w:color="000000" w:sz="4" w:space="0"/>
              <w:bottom w:val="single" w:color="000000" w:sz="4" w:space="0"/>
              <w:right w:val="single" w:color="000000" w:sz="4" w:space="0"/>
            </w:tcBorders>
            <w:vAlign w:val="center"/>
          </w:tcPr>
          <w:p w14:paraId="13AED478">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88401.83</w:t>
            </w:r>
          </w:p>
        </w:tc>
      </w:tr>
      <w:tr w14:paraId="499E1843">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75F68C22">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带薪年休假（事业）</w:t>
            </w:r>
          </w:p>
        </w:tc>
        <w:tc>
          <w:tcPr>
            <w:tcW w:w="1970" w:type="dxa"/>
            <w:tcBorders>
              <w:top w:val="single" w:color="000000" w:sz="4" w:space="0"/>
              <w:left w:val="single" w:color="000000" w:sz="4" w:space="0"/>
              <w:bottom w:val="single" w:color="000000" w:sz="4" w:space="0"/>
              <w:right w:val="single" w:color="000000" w:sz="4" w:space="0"/>
            </w:tcBorders>
            <w:vAlign w:val="center"/>
          </w:tcPr>
          <w:p w14:paraId="1AC097D8">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2130104-</w:t>
            </w:r>
            <w:r>
              <w:rPr>
                <w:rFonts w:hint="eastAsia" w:ascii="Nimbus Roman No9 L" w:hAnsi="Nimbus Roman No9 L" w:eastAsia="仿宋" w:cs="仿宋"/>
                <w:szCs w:val="21"/>
              </w:rPr>
              <w:t>事业运行</w:t>
            </w:r>
          </w:p>
        </w:tc>
        <w:tc>
          <w:tcPr>
            <w:tcW w:w="1390" w:type="dxa"/>
            <w:tcBorders>
              <w:top w:val="single" w:color="000000" w:sz="4" w:space="0"/>
              <w:left w:val="single" w:color="000000" w:sz="4" w:space="0"/>
              <w:bottom w:val="single" w:color="000000" w:sz="4" w:space="0"/>
              <w:right w:val="single" w:color="000000" w:sz="4" w:space="0"/>
            </w:tcBorders>
            <w:vAlign w:val="center"/>
          </w:tcPr>
          <w:p w14:paraId="084D1642">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366740</w:t>
            </w:r>
          </w:p>
        </w:tc>
        <w:tc>
          <w:tcPr>
            <w:tcW w:w="1545" w:type="dxa"/>
            <w:tcBorders>
              <w:top w:val="single" w:color="000000" w:sz="4" w:space="0"/>
              <w:left w:val="single" w:color="000000" w:sz="4" w:space="0"/>
              <w:bottom w:val="single" w:color="000000" w:sz="4" w:space="0"/>
              <w:right w:val="single" w:color="000000" w:sz="4" w:space="0"/>
            </w:tcBorders>
            <w:vAlign w:val="center"/>
          </w:tcPr>
          <w:p w14:paraId="1E32E87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366740</w:t>
            </w:r>
          </w:p>
        </w:tc>
        <w:tc>
          <w:tcPr>
            <w:tcW w:w="1440" w:type="dxa"/>
            <w:tcBorders>
              <w:top w:val="single" w:color="000000" w:sz="4" w:space="0"/>
              <w:left w:val="single" w:color="000000" w:sz="4" w:space="0"/>
              <w:bottom w:val="single" w:color="000000" w:sz="4" w:space="0"/>
              <w:right w:val="single" w:color="000000" w:sz="4" w:space="0"/>
            </w:tcBorders>
            <w:vAlign w:val="center"/>
          </w:tcPr>
          <w:p w14:paraId="0B53BE24">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366740</w:t>
            </w:r>
          </w:p>
        </w:tc>
      </w:tr>
      <w:tr w14:paraId="0F0C6143">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5173BD7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2025</w:t>
            </w:r>
            <w:r>
              <w:rPr>
                <w:rFonts w:hint="eastAsia" w:ascii="Nimbus Roman No9 L" w:hAnsi="Nimbus Roman No9 L" w:eastAsia="仿宋" w:cs="仿宋"/>
                <w:szCs w:val="21"/>
              </w:rPr>
              <w:t>年中央“三区”科技人才支持计划</w:t>
            </w:r>
          </w:p>
        </w:tc>
        <w:tc>
          <w:tcPr>
            <w:tcW w:w="1970" w:type="dxa"/>
            <w:tcBorders>
              <w:top w:val="single" w:color="000000" w:sz="4" w:space="0"/>
              <w:left w:val="single" w:color="000000" w:sz="4" w:space="0"/>
              <w:bottom w:val="single" w:color="000000" w:sz="4" w:space="0"/>
              <w:right w:val="single" w:color="000000" w:sz="4" w:space="0"/>
            </w:tcBorders>
            <w:vAlign w:val="center"/>
          </w:tcPr>
          <w:p w14:paraId="0A18754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2069999-</w:t>
            </w:r>
            <w:r>
              <w:rPr>
                <w:rFonts w:hint="eastAsia" w:ascii="Nimbus Roman No9 L" w:hAnsi="Nimbus Roman No9 L" w:eastAsia="仿宋" w:cs="仿宋"/>
                <w:szCs w:val="21"/>
              </w:rPr>
              <w:t>其他科学技术支出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27AEF89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0</w:t>
            </w:r>
          </w:p>
        </w:tc>
        <w:tc>
          <w:tcPr>
            <w:tcW w:w="1545" w:type="dxa"/>
            <w:tcBorders>
              <w:top w:val="single" w:color="000000" w:sz="4" w:space="0"/>
              <w:left w:val="single" w:color="000000" w:sz="4" w:space="0"/>
              <w:bottom w:val="single" w:color="000000" w:sz="4" w:space="0"/>
              <w:right w:val="single" w:color="000000" w:sz="4" w:space="0"/>
            </w:tcBorders>
            <w:vAlign w:val="center"/>
          </w:tcPr>
          <w:p w14:paraId="678E094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0</w:t>
            </w:r>
          </w:p>
        </w:tc>
        <w:tc>
          <w:tcPr>
            <w:tcW w:w="1440" w:type="dxa"/>
            <w:tcBorders>
              <w:top w:val="single" w:color="000000" w:sz="4" w:space="0"/>
              <w:left w:val="single" w:color="000000" w:sz="4" w:space="0"/>
              <w:bottom w:val="single" w:color="000000" w:sz="4" w:space="0"/>
              <w:right w:val="single" w:color="000000" w:sz="4" w:space="0"/>
            </w:tcBorders>
            <w:vAlign w:val="center"/>
          </w:tcPr>
          <w:p w14:paraId="40129F7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0</w:t>
            </w:r>
          </w:p>
        </w:tc>
      </w:tr>
      <w:tr w14:paraId="7743F4FA">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28CE7DA">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四川省攀枝花市中型灌区农田灌溉水有效系数测算</w:t>
            </w:r>
          </w:p>
        </w:tc>
        <w:tc>
          <w:tcPr>
            <w:tcW w:w="1970" w:type="dxa"/>
            <w:tcBorders>
              <w:top w:val="single" w:color="000000" w:sz="4" w:space="0"/>
              <w:left w:val="single" w:color="000000" w:sz="4" w:space="0"/>
              <w:bottom w:val="single" w:color="000000" w:sz="4" w:space="0"/>
              <w:right w:val="single" w:color="000000" w:sz="4" w:space="0"/>
            </w:tcBorders>
            <w:vAlign w:val="center"/>
          </w:tcPr>
          <w:p w14:paraId="756ABAA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2130311-</w:t>
            </w:r>
            <w:r>
              <w:rPr>
                <w:rFonts w:hint="eastAsia" w:ascii="Nimbus Roman No9 L" w:hAnsi="Nimbus Roman No9 L" w:eastAsia="仿宋" w:cs="仿宋"/>
                <w:szCs w:val="21"/>
              </w:rPr>
              <w:t>水资源节约管理与保护</w:t>
            </w:r>
          </w:p>
        </w:tc>
        <w:tc>
          <w:tcPr>
            <w:tcW w:w="1390" w:type="dxa"/>
            <w:tcBorders>
              <w:top w:val="single" w:color="000000" w:sz="4" w:space="0"/>
              <w:left w:val="single" w:color="000000" w:sz="4" w:space="0"/>
              <w:bottom w:val="single" w:color="000000" w:sz="4" w:space="0"/>
              <w:right w:val="single" w:color="000000" w:sz="4" w:space="0"/>
            </w:tcBorders>
            <w:vAlign w:val="center"/>
          </w:tcPr>
          <w:p w14:paraId="49A7A6D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25814</w:t>
            </w:r>
          </w:p>
        </w:tc>
        <w:tc>
          <w:tcPr>
            <w:tcW w:w="1545" w:type="dxa"/>
            <w:tcBorders>
              <w:top w:val="single" w:color="000000" w:sz="4" w:space="0"/>
              <w:left w:val="single" w:color="000000" w:sz="4" w:space="0"/>
              <w:bottom w:val="single" w:color="000000" w:sz="4" w:space="0"/>
              <w:right w:val="single" w:color="000000" w:sz="4" w:space="0"/>
            </w:tcBorders>
            <w:vAlign w:val="center"/>
          </w:tcPr>
          <w:p w14:paraId="724D9FC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25814</w:t>
            </w:r>
          </w:p>
        </w:tc>
        <w:tc>
          <w:tcPr>
            <w:tcW w:w="1440" w:type="dxa"/>
            <w:tcBorders>
              <w:top w:val="single" w:color="000000" w:sz="4" w:space="0"/>
              <w:left w:val="single" w:color="000000" w:sz="4" w:space="0"/>
              <w:bottom w:val="single" w:color="000000" w:sz="4" w:space="0"/>
              <w:right w:val="single" w:color="000000" w:sz="4" w:space="0"/>
            </w:tcBorders>
            <w:vAlign w:val="center"/>
          </w:tcPr>
          <w:p w14:paraId="5DE7C8A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25814</w:t>
            </w:r>
          </w:p>
        </w:tc>
      </w:tr>
      <w:tr w14:paraId="2A866AAA">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1A485B2C">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成果转化项目</w:t>
            </w:r>
          </w:p>
        </w:tc>
        <w:tc>
          <w:tcPr>
            <w:tcW w:w="1970" w:type="dxa"/>
            <w:tcBorders>
              <w:top w:val="single" w:color="000000" w:sz="4" w:space="0"/>
              <w:left w:val="single" w:color="000000" w:sz="4" w:space="0"/>
              <w:bottom w:val="single" w:color="000000" w:sz="4" w:space="0"/>
              <w:right w:val="single" w:color="000000" w:sz="4" w:space="0"/>
            </w:tcBorders>
            <w:vAlign w:val="center"/>
          </w:tcPr>
          <w:p w14:paraId="698025B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2130106-</w:t>
            </w:r>
            <w:r>
              <w:rPr>
                <w:rFonts w:hint="eastAsia" w:ascii="Nimbus Roman No9 L" w:hAnsi="Nimbus Roman No9 L" w:eastAsia="仿宋" w:cs="仿宋"/>
                <w:szCs w:val="21"/>
              </w:rPr>
              <w:t>科技转化与推广服务</w:t>
            </w:r>
          </w:p>
        </w:tc>
        <w:tc>
          <w:tcPr>
            <w:tcW w:w="1390" w:type="dxa"/>
            <w:tcBorders>
              <w:top w:val="single" w:color="000000" w:sz="4" w:space="0"/>
              <w:left w:val="single" w:color="000000" w:sz="4" w:space="0"/>
              <w:bottom w:val="single" w:color="000000" w:sz="4" w:space="0"/>
              <w:right w:val="single" w:color="000000" w:sz="4" w:space="0"/>
            </w:tcBorders>
            <w:vAlign w:val="center"/>
          </w:tcPr>
          <w:p w14:paraId="6BD8C6D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1708675.01</w:t>
            </w:r>
          </w:p>
        </w:tc>
        <w:tc>
          <w:tcPr>
            <w:tcW w:w="1545" w:type="dxa"/>
            <w:tcBorders>
              <w:top w:val="single" w:color="000000" w:sz="4" w:space="0"/>
              <w:left w:val="single" w:color="000000" w:sz="4" w:space="0"/>
              <w:bottom w:val="single" w:color="000000" w:sz="4" w:space="0"/>
              <w:right w:val="single" w:color="000000" w:sz="4" w:space="0"/>
            </w:tcBorders>
            <w:vAlign w:val="center"/>
          </w:tcPr>
          <w:p w14:paraId="2D825C1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2903502.4</w:t>
            </w:r>
          </w:p>
        </w:tc>
        <w:tc>
          <w:tcPr>
            <w:tcW w:w="1440" w:type="dxa"/>
            <w:tcBorders>
              <w:top w:val="single" w:color="000000" w:sz="4" w:space="0"/>
              <w:left w:val="single" w:color="000000" w:sz="4" w:space="0"/>
              <w:bottom w:val="single" w:color="000000" w:sz="4" w:space="0"/>
              <w:right w:val="single" w:color="000000" w:sz="4" w:space="0"/>
            </w:tcBorders>
            <w:vAlign w:val="center"/>
          </w:tcPr>
          <w:p w14:paraId="6BD264A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1137657.69</w:t>
            </w:r>
          </w:p>
        </w:tc>
      </w:tr>
      <w:tr w14:paraId="0E2FB5AF">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3401C9F7">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院立项目</w:t>
            </w:r>
          </w:p>
        </w:tc>
        <w:tc>
          <w:tcPr>
            <w:tcW w:w="1970" w:type="dxa"/>
            <w:tcBorders>
              <w:top w:val="single" w:color="000000" w:sz="4" w:space="0"/>
              <w:left w:val="single" w:color="000000" w:sz="4" w:space="0"/>
              <w:bottom w:val="single" w:color="000000" w:sz="4" w:space="0"/>
              <w:right w:val="single" w:color="000000" w:sz="4" w:space="0"/>
            </w:tcBorders>
            <w:vAlign w:val="center"/>
          </w:tcPr>
          <w:p w14:paraId="3630C6C9">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2130199-</w:t>
            </w:r>
            <w:r>
              <w:rPr>
                <w:rFonts w:hint="eastAsia" w:ascii="Nimbus Roman No9 L" w:hAnsi="Nimbus Roman No9 L" w:eastAsia="仿宋" w:cs="仿宋"/>
                <w:kern w:val="0"/>
                <w:szCs w:val="21"/>
              </w:rPr>
              <w:t>其他农业农村支出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436C6011">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0</w:t>
            </w:r>
          </w:p>
        </w:tc>
        <w:tc>
          <w:tcPr>
            <w:tcW w:w="1545" w:type="dxa"/>
            <w:tcBorders>
              <w:top w:val="single" w:color="000000" w:sz="4" w:space="0"/>
              <w:left w:val="single" w:color="000000" w:sz="4" w:space="0"/>
              <w:bottom w:val="single" w:color="000000" w:sz="4" w:space="0"/>
              <w:right w:val="single" w:color="000000" w:sz="4" w:space="0"/>
            </w:tcBorders>
            <w:vAlign w:val="center"/>
          </w:tcPr>
          <w:p w14:paraId="7687003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6860</w:t>
            </w:r>
          </w:p>
        </w:tc>
        <w:tc>
          <w:tcPr>
            <w:tcW w:w="1440" w:type="dxa"/>
            <w:tcBorders>
              <w:top w:val="single" w:color="000000" w:sz="4" w:space="0"/>
              <w:left w:val="single" w:color="000000" w:sz="4" w:space="0"/>
              <w:bottom w:val="single" w:color="000000" w:sz="4" w:space="0"/>
              <w:right w:val="single" w:color="000000" w:sz="4" w:space="0"/>
            </w:tcBorders>
            <w:vAlign w:val="center"/>
          </w:tcPr>
          <w:p w14:paraId="59465BE8">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0</w:t>
            </w:r>
          </w:p>
        </w:tc>
      </w:tr>
      <w:tr w14:paraId="5ECB9419">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664EAD46">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中央及省级转拨项目经费</w:t>
            </w:r>
          </w:p>
        </w:tc>
        <w:tc>
          <w:tcPr>
            <w:tcW w:w="1970" w:type="dxa"/>
            <w:tcBorders>
              <w:top w:val="single" w:color="000000" w:sz="4" w:space="0"/>
              <w:left w:val="single" w:color="000000" w:sz="4" w:space="0"/>
              <w:bottom w:val="single" w:color="000000" w:sz="4" w:space="0"/>
              <w:right w:val="single" w:color="000000" w:sz="4" w:space="0"/>
            </w:tcBorders>
            <w:vAlign w:val="center"/>
          </w:tcPr>
          <w:p w14:paraId="7F359111">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2060599-</w:t>
            </w:r>
            <w:r>
              <w:rPr>
                <w:rFonts w:hint="eastAsia" w:ascii="Nimbus Roman No9 L" w:hAnsi="Nimbus Roman No9 L" w:eastAsia="仿宋" w:cs="仿宋"/>
                <w:szCs w:val="21"/>
              </w:rPr>
              <w:t>其他科技条件与服务支出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3289012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3193701.91</w:t>
            </w:r>
          </w:p>
        </w:tc>
        <w:tc>
          <w:tcPr>
            <w:tcW w:w="1545" w:type="dxa"/>
            <w:tcBorders>
              <w:top w:val="single" w:color="000000" w:sz="4" w:space="0"/>
              <w:left w:val="single" w:color="000000" w:sz="4" w:space="0"/>
              <w:bottom w:val="single" w:color="000000" w:sz="4" w:space="0"/>
              <w:right w:val="single" w:color="000000" w:sz="4" w:space="0"/>
            </w:tcBorders>
            <w:vAlign w:val="center"/>
          </w:tcPr>
          <w:p w14:paraId="5727A151">
            <w:pPr>
              <w:widowControl/>
              <w:adjustRightInd w:val="0"/>
              <w:snapToGrid w:val="0"/>
              <w:textAlignment w:val="center"/>
              <w:rPr>
                <w:rFonts w:hint="eastAsia" w:ascii="Nimbus Roman No9 L" w:hAnsi="Nimbus Roman No9 L" w:eastAsia="仿宋" w:cs="仿宋"/>
                <w:szCs w:val="21"/>
              </w:rPr>
            </w:pPr>
            <w:r>
              <w:rPr>
                <w:rFonts w:ascii="Nimbus Roman No9 L" w:hAnsi="Nimbus Roman No9 L" w:eastAsia="仿宋" w:cs="仿宋"/>
                <w:szCs w:val="21"/>
              </w:rPr>
              <w:t>3193701.91</w:t>
            </w:r>
          </w:p>
        </w:tc>
        <w:tc>
          <w:tcPr>
            <w:tcW w:w="1440" w:type="dxa"/>
            <w:tcBorders>
              <w:top w:val="single" w:color="000000" w:sz="4" w:space="0"/>
              <w:left w:val="single" w:color="000000" w:sz="4" w:space="0"/>
              <w:bottom w:val="single" w:color="000000" w:sz="4" w:space="0"/>
              <w:right w:val="single" w:color="000000" w:sz="4" w:space="0"/>
            </w:tcBorders>
            <w:vAlign w:val="center"/>
          </w:tcPr>
          <w:p w14:paraId="0DE0739A">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3193701.91</w:t>
            </w:r>
          </w:p>
        </w:tc>
      </w:tr>
      <w:tr w14:paraId="0D6FFA11">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003FE853">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6F2A90B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2080502-</w:t>
            </w:r>
            <w:r>
              <w:rPr>
                <w:rFonts w:hint="eastAsia" w:ascii="Nimbus Roman No9 L" w:hAnsi="Nimbus Roman No9 L" w:eastAsia="仿宋" w:cs="仿宋"/>
                <w:kern w:val="0"/>
                <w:szCs w:val="21"/>
              </w:rPr>
              <w:t>事业单位离退休</w:t>
            </w:r>
          </w:p>
        </w:tc>
        <w:tc>
          <w:tcPr>
            <w:tcW w:w="1390" w:type="dxa"/>
            <w:tcBorders>
              <w:top w:val="single" w:color="000000" w:sz="4" w:space="0"/>
              <w:left w:val="single" w:color="000000" w:sz="4" w:space="0"/>
              <w:bottom w:val="single" w:color="000000" w:sz="4" w:space="0"/>
              <w:right w:val="single" w:color="000000" w:sz="4" w:space="0"/>
            </w:tcBorders>
            <w:vAlign w:val="center"/>
          </w:tcPr>
          <w:p w14:paraId="7AFC1D1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1115622.45</w:t>
            </w:r>
          </w:p>
        </w:tc>
        <w:tc>
          <w:tcPr>
            <w:tcW w:w="1545" w:type="dxa"/>
            <w:tcBorders>
              <w:top w:val="single" w:color="000000" w:sz="4" w:space="0"/>
              <w:left w:val="single" w:color="000000" w:sz="4" w:space="0"/>
              <w:bottom w:val="single" w:color="000000" w:sz="4" w:space="0"/>
              <w:right w:val="single" w:color="000000" w:sz="4" w:space="0"/>
            </w:tcBorders>
            <w:vAlign w:val="center"/>
          </w:tcPr>
          <w:p w14:paraId="7656008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1115622.45</w:t>
            </w:r>
          </w:p>
        </w:tc>
        <w:tc>
          <w:tcPr>
            <w:tcW w:w="1440" w:type="dxa"/>
            <w:tcBorders>
              <w:top w:val="single" w:color="000000" w:sz="4" w:space="0"/>
              <w:left w:val="single" w:color="000000" w:sz="4" w:space="0"/>
              <w:bottom w:val="single" w:color="000000" w:sz="4" w:space="0"/>
              <w:right w:val="single" w:color="000000" w:sz="4" w:space="0"/>
            </w:tcBorders>
            <w:vAlign w:val="center"/>
          </w:tcPr>
          <w:p w14:paraId="3DF2C7E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1115622.45</w:t>
            </w:r>
          </w:p>
        </w:tc>
      </w:tr>
      <w:tr w14:paraId="0A0ECC18">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5DE79A90">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67B803A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2080505-</w:t>
            </w:r>
            <w:r>
              <w:rPr>
                <w:rFonts w:hint="eastAsia" w:ascii="Nimbus Roman No9 L" w:hAnsi="Nimbus Roman No9 L" w:eastAsia="仿宋" w:cs="仿宋"/>
                <w:kern w:val="0"/>
                <w:szCs w:val="21"/>
              </w:rPr>
              <w:t>机关事业单位基本养老保险缴费支出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0D5BB2D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2533618.72</w:t>
            </w:r>
          </w:p>
        </w:tc>
        <w:tc>
          <w:tcPr>
            <w:tcW w:w="1545" w:type="dxa"/>
            <w:tcBorders>
              <w:top w:val="single" w:color="000000" w:sz="4" w:space="0"/>
              <w:left w:val="single" w:color="000000" w:sz="4" w:space="0"/>
              <w:bottom w:val="single" w:color="000000" w:sz="4" w:space="0"/>
              <w:right w:val="single" w:color="000000" w:sz="4" w:space="0"/>
            </w:tcBorders>
            <w:vAlign w:val="center"/>
          </w:tcPr>
          <w:p w14:paraId="1A25A638">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2533618.72</w:t>
            </w:r>
          </w:p>
        </w:tc>
        <w:tc>
          <w:tcPr>
            <w:tcW w:w="1440" w:type="dxa"/>
            <w:tcBorders>
              <w:top w:val="single" w:color="000000" w:sz="4" w:space="0"/>
              <w:left w:val="single" w:color="000000" w:sz="4" w:space="0"/>
              <w:bottom w:val="single" w:color="000000" w:sz="4" w:space="0"/>
              <w:right w:val="single" w:color="000000" w:sz="4" w:space="0"/>
            </w:tcBorders>
            <w:vAlign w:val="center"/>
          </w:tcPr>
          <w:p w14:paraId="5659758C">
            <w:pPr>
              <w:adjustRightInd w:val="0"/>
              <w:snapToGrid w:val="0"/>
              <w:jc w:val="center"/>
              <w:rPr>
                <w:rFonts w:hint="eastAsia" w:ascii="Nimbus Roman No9 L" w:hAnsi="Nimbus Roman No9 L" w:eastAsia="仿宋" w:cs="仿宋"/>
                <w:szCs w:val="21"/>
              </w:rPr>
            </w:pPr>
            <w:r>
              <w:rPr>
                <w:rFonts w:ascii="Nimbus Roman No9 L" w:hAnsi="Nimbus Roman No9 L" w:eastAsia="仿宋" w:cs="仿宋"/>
                <w:szCs w:val="21"/>
              </w:rPr>
              <w:t>2533618.72</w:t>
            </w:r>
          </w:p>
        </w:tc>
      </w:tr>
      <w:tr w14:paraId="04B12B66">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35143ED0">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20744BA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2080506-</w:t>
            </w:r>
            <w:r>
              <w:rPr>
                <w:rFonts w:hint="eastAsia" w:ascii="Nimbus Roman No9 L" w:hAnsi="Nimbus Roman No9 L" w:eastAsia="仿宋" w:cs="仿宋"/>
                <w:kern w:val="0"/>
                <w:szCs w:val="21"/>
              </w:rPr>
              <w:t>机关事业单位职业年金缴费支出</w:t>
            </w:r>
          </w:p>
        </w:tc>
        <w:tc>
          <w:tcPr>
            <w:tcW w:w="1390" w:type="dxa"/>
            <w:tcBorders>
              <w:top w:val="single" w:color="000000" w:sz="4" w:space="0"/>
              <w:left w:val="single" w:color="000000" w:sz="4" w:space="0"/>
              <w:bottom w:val="single" w:color="000000" w:sz="4" w:space="0"/>
              <w:right w:val="single" w:color="000000" w:sz="4" w:space="0"/>
            </w:tcBorders>
            <w:vAlign w:val="center"/>
          </w:tcPr>
          <w:p w14:paraId="258B189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285001.88</w:t>
            </w:r>
          </w:p>
        </w:tc>
        <w:tc>
          <w:tcPr>
            <w:tcW w:w="1545" w:type="dxa"/>
            <w:tcBorders>
              <w:top w:val="single" w:color="000000" w:sz="4" w:space="0"/>
              <w:left w:val="single" w:color="000000" w:sz="4" w:space="0"/>
              <w:bottom w:val="single" w:color="000000" w:sz="4" w:space="0"/>
              <w:right w:val="single" w:color="000000" w:sz="4" w:space="0"/>
            </w:tcBorders>
            <w:vAlign w:val="center"/>
          </w:tcPr>
          <w:p w14:paraId="7E76B11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285001.88</w:t>
            </w:r>
          </w:p>
        </w:tc>
        <w:tc>
          <w:tcPr>
            <w:tcW w:w="1440" w:type="dxa"/>
            <w:tcBorders>
              <w:top w:val="single" w:color="000000" w:sz="4" w:space="0"/>
              <w:left w:val="single" w:color="000000" w:sz="4" w:space="0"/>
              <w:bottom w:val="single" w:color="000000" w:sz="4" w:space="0"/>
              <w:right w:val="single" w:color="000000" w:sz="4" w:space="0"/>
            </w:tcBorders>
            <w:vAlign w:val="center"/>
          </w:tcPr>
          <w:p w14:paraId="6F60C4F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285001.88</w:t>
            </w:r>
          </w:p>
        </w:tc>
      </w:tr>
      <w:tr w14:paraId="540CC450">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362C70BC">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1AAF7AF6">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2101102-</w:t>
            </w:r>
            <w:r>
              <w:rPr>
                <w:rFonts w:hint="eastAsia" w:ascii="Nimbus Roman No9 L" w:hAnsi="Nimbus Roman No9 L" w:eastAsia="仿宋" w:cs="仿宋"/>
                <w:szCs w:val="21"/>
              </w:rPr>
              <w:t>事业单位医疗</w:t>
            </w:r>
          </w:p>
        </w:tc>
        <w:tc>
          <w:tcPr>
            <w:tcW w:w="1390" w:type="dxa"/>
            <w:tcBorders>
              <w:top w:val="single" w:color="000000" w:sz="4" w:space="0"/>
              <w:left w:val="single" w:color="000000" w:sz="4" w:space="0"/>
              <w:bottom w:val="single" w:color="000000" w:sz="4" w:space="0"/>
              <w:right w:val="single" w:color="000000" w:sz="4" w:space="0"/>
            </w:tcBorders>
            <w:vAlign w:val="center"/>
          </w:tcPr>
          <w:p w14:paraId="4FF70D9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1264993.55</w:t>
            </w:r>
          </w:p>
        </w:tc>
        <w:tc>
          <w:tcPr>
            <w:tcW w:w="1545" w:type="dxa"/>
            <w:tcBorders>
              <w:top w:val="single" w:color="000000" w:sz="4" w:space="0"/>
              <w:left w:val="single" w:color="000000" w:sz="4" w:space="0"/>
              <w:bottom w:val="single" w:color="000000" w:sz="4" w:space="0"/>
              <w:right w:val="single" w:color="000000" w:sz="4" w:space="0"/>
            </w:tcBorders>
            <w:vAlign w:val="center"/>
          </w:tcPr>
          <w:p w14:paraId="29BC39F7">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1264993.55</w:t>
            </w:r>
          </w:p>
        </w:tc>
        <w:tc>
          <w:tcPr>
            <w:tcW w:w="1440" w:type="dxa"/>
            <w:tcBorders>
              <w:top w:val="single" w:color="000000" w:sz="4" w:space="0"/>
              <w:left w:val="single" w:color="000000" w:sz="4" w:space="0"/>
              <w:bottom w:val="single" w:color="000000" w:sz="4" w:space="0"/>
              <w:right w:val="single" w:color="000000" w:sz="4" w:space="0"/>
            </w:tcBorders>
            <w:vAlign w:val="center"/>
          </w:tcPr>
          <w:p w14:paraId="5155A1D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1264993.55</w:t>
            </w:r>
          </w:p>
        </w:tc>
      </w:tr>
      <w:tr w14:paraId="20D8649F">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5C46030D">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6D1EFB4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2101103-</w:t>
            </w:r>
            <w:r>
              <w:rPr>
                <w:rFonts w:hint="eastAsia" w:ascii="Nimbus Roman No9 L" w:hAnsi="Nimbus Roman No9 L" w:eastAsia="仿宋" w:cs="仿宋"/>
                <w:szCs w:val="21"/>
              </w:rPr>
              <w:t>公务员医疗补助</w:t>
            </w:r>
          </w:p>
        </w:tc>
        <w:tc>
          <w:tcPr>
            <w:tcW w:w="1390" w:type="dxa"/>
            <w:tcBorders>
              <w:top w:val="single" w:color="000000" w:sz="4" w:space="0"/>
              <w:left w:val="single" w:color="000000" w:sz="4" w:space="0"/>
              <w:bottom w:val="single" w:color="000000" w:sz="4" w:space="0"/>
              <w:right w:val="single" w:color="000000" w:sz="4" w:space="0"/>
            </w:tcBorders>
            <w:vAlign w:val="center"/>
          </w:tcPr>
          <w:p w14:paraId="5EEB133C">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142600</w:t>
            </w:r>
          </w:p>
        </w:tc>
        <w:tc>
          <w:tcPr>
            <w:tcW w:w="1545" w:type="dxa"/>
            <w:tcBorders>
              <w:top w:val="single" w:color="000000" w:sz="4" w:space="0"/>
              <w:left w:val="single" w:color="000000" w:sz="4" w:space="0"/>
              <w:bottom w:val="single" w:color="000000" w:sz="4" w:space="0"/>
              <w:right w:val="single" w:color="000000" w:sz="4" w:space="0"/>
            </w:tcBorders>
            <w:vAlign w:val="center"/>
          </w:tcPr>
          <w:p w14:paraId="2DFFB4A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142600</w:t>
            </w:r>
          </w:p>
        </w:tc>
        <w:tc>
          <w:tcPr>
            <w:tcW w:w="1440" w:type="dxa"/>
            <w:tcBorders>
              <w:top w:val="single" w:color="000000" w:sz="4" w:space="0"/>
              <w:left w:val="single" w:color="000000" w:sz="4" w:space="0"/>
              <w:bottom w:val="single" w:color="000000" w:sz="4" w:space="0"/>
              <w:right w:val="single" w:color="000000" w:sz="4" w:space="0"/>
            </w:tcBorders>
            <w:vAlign w:val="center"/>
          </w:tcPr>
          <w:p w14:paraId="142AA00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142600</w:t>
            </w:r>
          </w:p>
        </w:tc>
      </w:tr>
      <w:tr w14:paraId="5B9D06A7">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1E51A7AF">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6EFDF78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2130104-</w:t>
            </w:r>
            <w:r>
              <w:rPr>
                <w:rFonts w:hint="eastAsia" w:ascii="Nimbus Roman No9 L" w:hAnsi="Nimbus Roman No9 L" w:eastAsia="仿宋" w:cs="仿宋"/>
                <w:kern w:val="0"/>
                <w:szCs w:val="21"/>
              </w:rPr>
              <w:t>事业运行</w:t>
            </w:r>
          </w:p>
        </w:tc>
        <w:tc>
          <w:tcPr>
            <w:tcW w:w="1390" w:type="dxa"/>
            <w:tcBorders>
              <w:top w:val="single" w:color="000000" w:sz="4" w:space="0"/>
              <w:left w:val="single" w:color="000000" w:sz="4" w:space="0"/>
              <w:bottom w:val="single" w:color="000000" w:sz="4" w:space="0"/>
              <w:right w:val="single" w:color="000000" w:sz="4" w:space="0"/>
            </w:tcBorders>
            <w:vAlign w:val="center"/>
          </w:tcPr>
          <w:p w14:paraId="1AE9278B">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21977167.23</w:t>
            </w:r>
          </w:p>
        </w:tc>
        <w:tc>
          <w:tcPr>
            <w:tcW w:w="1545" w:type="dxa"/>
            <w:tcBorders>
              <w:top w:val="single" w:color="000000" w:sz="4" w:space="0"/>
              <w:left w:val="single" w:color="000000" w:sz="4" w:space="0"/>
              <w:bottom w:val="single" w:color="000000" w:sz="4" w:space="0"/>
              <w:right w:val="single" w:color="000000" w:sz="4" w:space="0"/>
            </w:tcBorders>
            <w:vAlign w:val="center"/>
          </w:tcPr>
          <w:p w14:paraId="12F87EEF">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21977167.23</w:t>
            </w:r>
          </w:p>
        </w:tc>
        <w:tc>
          <w:tcPr>
            <w:tcW w:w="1440" w:type="dxa"/>
            <w:tcBorders>
              <w:top w:val="single" w:color="000000" w:sz="4" w:space="0"/>
              <w:left w:val="single" w:color="000000" w:sz="4" w:space="0"/>
              <w:bottom w:val="single" w:color="000000" w:sz="4" w:space="0"/>
              <w:right w:val="single" w:color="000000" w:sz="4" w:space="0"/>
            </w:tcBorders>
            <w:vAlign w:val="center"/>
          </w:tcPr>
          <w:p w14:paraId="4049B4F3">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21977167.23</w:t>
            </w:r>
          </w:p>
        </w:tc>
      </w:tr>
      <w:tr w14:paraId="36427325">
        <w:tblPrEx>
          <w:tblCellMar>
            <w:top w:w="0" w:type="dxa"/>
            <w:left w:w="108" w:type="dxa"/>
            <w:bottom w:w="0" w:type="dxa"/>
            <w:right w:w="108" w:type="dxa"/>
          </w:tblCellMar>
        </w:tblPrEx>
        <w:trPr>
          <w:trHeight w:val="600" w:hRule="atLeast"/>
          <w:jc w:val="center"/>
        </w:trPr>
        <w:tc>
          <w:tcPr>
            <w:tcW w:w="2033" w:type="dxa"/>
            <w:tcBorders>
              <w:top w:val="single" w:color="000000" w:sz="4" w:space="0"/>
              <w:left w:val="single" w:color="000000" w:sz="4" w:space="0"/>
              <w:bottom w:val="single" w:color="000000" w:sz="4" w:space="0"/>
              <w:right w:val="single" w:color="000000" w:sz="4" w:space="0"/>
            </w:tcBorders>
            <w:vAlign w:val="center"/>
          </w:tcPr>
          <w:p w14:paraId="52D210C2">
            <w:pPr>
              <w:widowControl/>
              <w:adjustRightInd w:val="0"/>
              <w:snapToGrid w:val="0"/>
              <w:jc w:val="center"/>
              <w:textAlignment w:val="center"/>
              <w:rPr>
                <w:rFonts w:hint="eastAsia" w:ascii="Nimbus Roman No9 L" w:hAnsi="Nimbus Roman No9 L" w:eastAsia="仿宋" w:cs="仿宋"/>
                <w:szCs w:val="21"/>
              </w:rPr>
            </w:pPr>
            <w:r>
              <w:rPr>
                <w:rFonts w:hint="eastAsia" w:ascii="Nimbus Roman No9 L" w:hAnsi="Nimbus Roman No9 L" w:eastAsia="仿宋" w:cs="仿宋"/>
                <w:szCs w:val="21"/>
              </w:rPr>
              <w:t>基本支出</w:t>
            </w:r>
          </w:p>
        </w:tc>
        <w:tc>
          <w:tcPr>
            <w:tcW w:w="1970" w:type="dxa"/>
            <w:tcBorders>
              <w:top w:val="single" w:color="000000" w:sz="4" w:space="0"/>
              <w:left w:val="single" w:color="000000" w:sz="4" w:space="0"/>
              <w:bottom w:val="single" w:color="000000" w:sz="4" w:space="0"/>
              <w:right w:val="single" w:color="000000" w:sz="4" w:space="0"/>
            </w:tcBorders>
            <w:vAlign w:val="center"/>
          </w:tcPr>
          <w:p w14:paraId="2DF790E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kern w:val="0"/>
                <w:szCs w:val="21"/>
              </w:rPr>
              <w:t>2210201-</w:t>
            </w:r>
            <w:r>
              <w:rPr>
                <w:rFonts w:hint="eastAsia" w:ascii="Nimbus Roman No9 L" w:hAnsi="Nimbus Roman No9 L" w:eastAsia="仿宋" w:cs="仿宋"/>
                <w:kern w:val="0"/>
                <w:szCs w:val="21"/>
              </w:rPr>
              <w:t>住房公积金</w:t>
            </w:r>
          </w:p>
        </w:tc>
        <w:tc>
          <w:tcPr>
            <w:tcW w:w="1390" w:type="dxa"/>
            <w:tcBorders>
              <w:top w:val="single" w:color="000000" w:sz="4" w:space="0"/>
              <w:left w:val="single" w:color="000000" w:sz="4" w:space="0"/>
              <w:bottom w:val="single" w:color="000000" w:sz="4" w:space="0"/>
              <w:right w:val="single" w:color="000000" w:sz="4" w:space="0"/>
            </w:tcBorders>
            <w:vAlign w:val="center"/>
          </w:tcPr>
          <w:p w14:paraId="46C8A6A5">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1913717</w:t>
            </w:r>
          </w:p>
        </w:tc>
        <w:tc>
          <w:tcPr>
            <w:tcW w:w="1545" w:type="dxa"/>
            <w:tcBorders>
              <w:top w:val="single" w:color="000000" w:sz="4" w:space="0"/>
              <w:left w:val="single" w:color="000000" w:sz="4" w:space="0"/>
              <w:bottom w:val="single" w:color="000000" w:sz="4" w:space="0"/>
              <w:right w:val="single" w:color="000000" w:sz="4" w:space="0"/>
            </w:tcBorders>
            <w:vAlign w:val="center"/>
          </w:tcPr>
          <w:p w14:paraId="6F7DCB28">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1913717</w:t>
            </w:r>
          </w:p>
        </w:tc>
        <w:tc>
          <w:tcPr>
            <w:tcW w:w="1440" w:type="dxa"/>
            <w:tcBorders>
              <w:top w:val="single" w:color="000000" w:sz="4" w:space="0"/>
              <w:left w:val="single" w:color="000000" w:sz="4" w:space="0"/>
              <w:bottom w:val="single" w:color="000000" w:sz="4" w:space="0"/>
              <w:right w:val="single" w:color="000000" w:sz="4" w:space="0"/>
            </w:tcBorders>
            <w:vAlign w:val="center"/>
          </w:tcPr>
          <w:p w14:paraId="419A0490">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1913717</w:t>
            </w:r>
          </w:p>
        </w:tc>
      </w:tr>
      <w:tr w14:paraId="160A4AB3">
        <w:tblPrEx>
          <w:tblCellMar>
            <w:top w:w="0" w:type="dxa"/>
            <w:left w:w="108" w:type="dxa"/>
            <w:bottom w:w="0" w:type="dxa"/>
            <w:right w:w="108" w:type="dxa"/>
          </w:tblCellMar>
        </w:tblPrEx>
        <w:trPr>
          <w:trHeight w:val="600" w:hRule="atLeast"/>
          <w:jc w:val="center"/>
        </w:trPr>
        <w:tc>
          <w:tcPr>
            <w:tcW w:w="4003" w:type="dxa"/>
            <w:gridSpan w:val="2"/>
            <w:tcBorders>
              <w:top w:val="single" w:color="000000" w:sz="4" w:space="0"/>
              <w:left w:val="single" w:color="000000" w:sz="4" w:space="0"/>
              <w:bottom w:val="single" w:color="000000" w:sz="4" w:space="0"/>
              <w:right w:val="single" w:color="000000" w:sz="4" w:space="0"/>
            </w:tcBorders>
            <w:vAlign w:val="center"/>
          </w:tcPr>
          <w:p w14:paraId="5E7A3BD6">
            <w:pPr>
              <w:adjustRightInd w:val="0"/>
              <w:snapToGrid w:val="0"/>
              <w:jc w:val="center"/>
              <w:rPr>
                <w:rFonts w:hint="eastAsia" w:ascii="Nimbus Roman No9 L" w:hAnsi="Nimbus Roman No9 L" w:eastAsia="仿宋" w:cs="仿宋"/>
                <w:szCs w:val="21"/>
              </w:rPr>
            </w:pPr>
            <w:r>
              <w:rPr>
                <w:rFonts w:hint="eastAsia" w:ascii="Nimbus Roman No9 L" w:hAnsi="Nimbus Roman No9 L" w:eastAsia="仿宋" w:cs="仿宋"/>
                <w:kern w:val="0"/>
                <w:szCs w:val="21"/>
              </w:rPr>
              <w:t>合计</w:t>
            </w:r>
          </w:p>
        </w:tc>
        <w:tc>
          <w:tcPr>
            <w:tcW w:w="1390" w:type="dxa"/>
            <w:tcBorders>
              <w:top w:val="single" w:color="000000" w:sz="4" w:space="0"/>
              <w:left w:val="single" w:color="000000" w:sz="4" w:space="0"/>
              <w:bottom w:val="single" w:color="000000" w:sz="4" w:space="0"/>
              <w:right w:val="single" w:color="000000" w:sz="4" w:space="0"/>
            </w:tcBorders>
            <w:vAlign w:val="center"/>
          </w:tcPr>
          <w:p w14:paraId="699AA57D">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41049011.33</w:t>
            </w:r>
          </w:p>
        </w:tc>
        <w:tc>
          <w:tcPr>
            <w:tcW w:w="1545" w:type="dxa"/>
            <w:tcBorders>
              <w:top w:val="single" w:color="000000" w:sz="4" w:space="0"/>
              <w:left w:val="single" w:color="000000" w:sz="4" w:space="0"/>
              <w:bottom w:val="single" w:color="000000" w:sz="4" w:space="0"/>
              <w:right w:val="single" w:color="000000" w:sz="4" w:space="0"/>
            </w:tcBorders>
            <w:vAlign w:val="center"/>
          </w:tcPr>
          <w:p w14:paraId="389B0F3E">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42250698.72</w:t>
            </w:r>
          </w:p>
        </w:tc>
        <w:tc>
          <w:tcPr>
            <w:tcW w:w="1440" w:type="dxa"/>
            <w:tcBorders>
              <w:top w:val="single" w:color="000000" w:sz="4" w:space="0"/>
              <w:left w:val="single" w:color="000000" w:sz="4" w:space="0"/>
              <w:bottom w:val="single" w:color="000000" w:sz="4" w:space="0"/>
              <w:right w:val="single" w:color="000000" w:sz="4" w:space="0"/>
            </w:tcBorders>
            <w:vAlign w:val="center"/>
          </w:tcPr>
          <w:p w14:paraId="389FA1C1">
            <w:pPr>
              <w:widowControl/>
              <w:adjustRightInd w:val="0"/>
              <w:snapToGrid w:val="0"/>
              <w:jc w:val="center"/>
              <w:textAlignment w:val="center"/>
              <w:rPr>
                <w:rFonts w:hint="eastAsia" w:ascii="Nimbus Roman No9 L" w:hAnsi="Nimbus Roman No9 L" w:eastAsia="仿宋" w:cs="仿宋"/>
                <w:szCs w:val="21"/>
              </w:rPr>
            </w:pPr>
            <w:r>
              <w:rPr>
                <w:rFonts w:ascii="Nimbus Roman No9 L" w:hAnsi="Nimbus Roman No9 L" w:eastAsia="仿宋" w:cs="仿宋"/>
                <w:szCs w:val="21"/>
              </w:rPr>
              <w:t>40477994.01</w:t>
            </w:r>
          </w:p>
        </w:tc>
      </w:tr>
      <w:tr w14:paraId="3B7D4A09">
        <w:tblPrEx>
          <w:tblCellMar>
            <w:top w:w="0" w:type="dxa"/>
            <w:left w:w="108" w:type="dxa"/>
            <w:bottom w:w="0" w:type="dxa"/>
            <w:right w:w="108" w:type="dxa"/>
          </w:tblCellMar>
        </w:tblPrEx>
        <w:trPr>
          <w:trHeight w:val="740" w:hRule="atLeast"/>
          <w:jc w:val="center"/>
        </w:trPr>
        <w:tc>
          <w:tcPr>
            <w:tcW w:w="8378" w:type="dxa"/>
            <w:gridSpan w:val="5"/>
            <w:tcBorders>
              <w:top w:val="single" w:color="000000" w:sz="4" w:space="0"/>
              <w:left w:val="single" w:color="000000" w:sz="4" w:space="0"/>
              <w:bottom w:val="single" w:color="000000" w:sz="4" w:space="0"/>
              <w:right w:val="single" w:color="000000" w:sz="4" w:space="0"/>
            </w:tcBorders>
            <w:vAlign w:val="center"/>
          </w:tcPr>
          <w:p w14:paraId="498C7271">
            <w:pPr>
              <w:widowControl/>
              <w:adjustRightInd w:val="0"/>
              <w:snapToGrid w:val="0"/>
              <w:textAlignment w:val="center"/>
              <w:rPr>
                <w:rFonts w:hint="eastAsia" w:ascii="Nimbus Roman No9 L" w:hAnsi="Nimbus Roman No9 L" w:eastAsia="仿宋" w:cs="仿宋"/>
                <w:szCs w:val="21"/>
              </w:rPr>
            </w:pPr>
            <w:r>
              <w:rPr>
                <w:rFonts w:hint="eastAsia" w:ascii="Nimbus Roman No9 L" w:hAnsi="Nimbus Roman No9 L" w:eastAsia="仿宋" w:cs="仿宋"/>
                <w:kern w:val="0"/>
                <w:szCs w:val="21"/>
              </w:rPr>
              <w:t>上年结转结余</w:t>
            </w:r>
            <w:r>
              <w:rPr>
                <w:rFonts w:ascii="Nimbus Roman No9 L" w:hAnsi="Nimbus Roman No9 L" w:eastAsia="仿宋" w:cs="仿宋"/>
                <w:kern w:val="0"/>
                <w:szCs w:val="21"/>
              </w:rPr>
              <w:t>1201687.39</w:t>
            </w:r>
            <w:r>
              <w:rPr>
                <w:rFonts w:hint="eastAsia" w:ascii="Nimbus Roman No9 L" w:hAnsi="Nimbus Roman No9 L" w:eastAsia="仿宋" w:cs="仿宋"/>
                <w:kern w:val="0"/>
                <w:szCs w:val="21"/>
              </w:rPr>
              <w:t>元，本年全年收入预算及执行</w:t>
            </w:r>
            <w:r>
              <w:rPr>
                <w:rFonts w:ascii="Nimbus Roman No9 L" w:hAnsi="Nimbus Roman No9 L" w:eastAsia="仿宋" w:cs="仿宋"/>
                <w:kern w:val="0"/>
                <w:szCs w:val="21"/>
              </w:rPr>
              <w:t>41049011.33</w:t>
            </w:r>
            <w:r>
              <w:rPr>
                <w:rFonts w:hint="eastAsia" w:ascii="Nimbus Roman No9 L" w:hAnsi="Nimbus Roman No9 L" w:eastAsia="仿宋" w:cs="仿宋"/>
                <w:kern w:val="0"/>
                <w:szCs w:val="21"/>
              </w:rPr>
              <w:t>元，预算收入执行率</w:t>
            </w:r>
            <w:r>
              <w:rPr>
                <w:rFonts w:ascii="Nimbus Roman No9 L" w:hAnsi="Nimbus Roman No9 L" w:eastAsia="仿宋" w:cs="仿宋"/>
                <w:kern w:val="0"/>
                <w:szCs w:val="21"/>
              </w:rPr>
              <w:t>100%</w:t>
            </w:r>
            <w:r>
              <w:rPr>
                <w:rFonts w:hint="eastAsia" w:ascii="Nimbus Roman No9 L" w:hAnsi="Nimbus Roman No9 L" w:eastAsia="仿宋" w:cs="仿宋"/>
                <w:kern w:val="0"/>
                <w:szCs w:val="21"/>
              </w:rPr>
              <w:t>；本年全年支出预算</w:t>
            </w:r>
            <w:r>
              <w:rPr>
                <w:rFonts w:ascii="Nimbus Roman No9 L" w:hAnsi="Nimbus Roman No9 L" w:eastAsia="仿宋" w:cs="仿宋"/>
                <w:kern w:val="0"/>
                <w:szCs w:val="21"/>
              </w:rPr>
              <w:t>42250698.72</w:t>
            </w:r>
            <w:r>
              <w:rPr>
                <w:rFonts w:hint="eastAsia" w:ascii="Nimbus Roman No9 L" w:hAnsi="Nimbus Roman No9 L" w:eastAsia="仿宋" w:cs="仿宋"/>
                <w:kern w:val="0"/>
                <w:szCs w:val="21"/>
              </w:rPr>
              <w:t>元，本年支出执行</w:t>
            </w:r>
            <w:r>
              <w:rPr>
                <w:rFonts w:ascii="Nimbus Roman No9 L" w:hAnsi="Nimbus Roman No9 L" w:eastAsia="仿宋" w:cs="仿宋"/>
                <w:kern w:val="0"/>
                <w:szCs w:val="21"/>
              </w:rPr>
              <w:t>40477994.01</w:t>
            </w:r>
            <w:r>
              <w:rPr>
                <w:rFonts w:hint="eastAsia" w:ascii="Nimbus Roman No9 L" w:hAnsi="Nimbus Roman No9 L" w:eastAsia="仿宋" w:cs="仿宋"/>
                <w:kern w:val="0"/>
                <w:szCs w:val="21"/>
              </w:rPr>
              <w:t>元，预算支出执行率</w:t>
            </w:r>
            <w:r>
              <w:rPr>
                <w:rFonts w:ascii="Nimbus Roman No9 L" w:hAnsi="Nimbus Roman No9 L" w:eastAsia="仿宋" w:cs="仿宋"/>
                <w:kern w:val="0"/>
                <w:szCs w:val="21"/>
              </w:rPr>
              <w:t>95.8%</w:t>
            </w:r>
            <w:r>
              <w:rPr>
                <w:rFonts w:hint="eastAsia" w:ascii="Nimbus Roman No9 L" w:hAnsi="Nimbus Roman No9 L" w:eastAsia="仿宋" w:cs="仿宋"/>
                <w:kern w:val="0"/>
                <w:szCs w:val="21"/>
              </w:rPr>
              <w:t>，结余结转</w:t>
            </w:r>
            <w:r>
              <w:rPr>
                <w:rFonts w:ascii="Nimbus Roman No9 L" w:hAnsi="Nimbus Roman No9 L" w:eastAsia="仿宋" w:cs="仿宋"/>
                <w:kern w:val="0"/>
                <w:szCs w:val="21"/>
              </w:rPr>
              <w:t>1772704.71</w:t>
            </w:r>
            <w:r>
              <w:rPr>
                <w:rFonts w:hint="eastAsia" w:ascii="Nimbus Roman No9 L" w:hAnsi="Nimbus Roman No9 L" w:eastAsia="仿宋" w:cs="仿宋"/>
                <w:kern w:val="0"/>
                <w:szCs w:val="21"/>
              </w:rPr>
              <w:t>元。</w:t>
            </w:r>
          </w:p>
        </w:tc>
      </w:tr>
    </w:tbl>
    <w:p w14:paraId="02B9BF5F">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p>
    <w:p w14:paraId="7ACD41ED">
      <w:pPr>
        <w:widowControl/>
        <w:adjustRightInd w:val="0"/>
        <w:snapToGrid w:val="0"/>
        <w:spacing w:line="578" w:lineRule="exact"/>
        <w:ind w:firstLine="640" w:firstLineChars="200"/>
        <w:contextualSpacing/>
        <w:jc w:val="left"/>
        <w:rPr>
          <w:rFonts w:eastAsia="仿宋_GB2312" w:cs="仿宋_GB2312"/>
          <w:sz w:val="32"/>
          <w:szCs w:val="32"/>
        </w:rPr>
      </w:pPr>
      <w:r>
        <w:rPr>
          <w:rFonts w:hint="eastAsia" w:eastAsia="仿宋_GB2312" w:cs="仿宋_GB2312"/>
          <w:sz w:val="32"/>
          <w:szCs w:val="32"/>
        </w:rPr>
        <w:t>攀枝花市农林科学研究院2025年决算报表非财政资金年初结转结余120.17万元，年末结转结余177.27万元。</w:t>
      </w:r>
    </w:p>
    <w:p w14:paraId="2A276632">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215A78A3">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5E4622C2">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p>
    <w:p w14:paraId="491F8C18">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1）强化科技创新，农业新质生产力培育取得成效。一是种业科技攻关取得新进展。引进芒果、油梨、大豆、花卉等种质资源350份/个，创制新材料750余份，评价70余份，完成田间鉴定技术3个，通过四川省非主要农作物品种认定品种3个，新申报品种审定（认定）4个、植物新品种权4个。二是关键核心技术攻关实现新提升。组织申报各级各类项目66项，授权专利5项、制定标准23项；出版专著1部、参编2部；入选省主推技术1项、获省教育厅教学成果二等奖1项。三是高能级科研条件平台创建实现新突破。积极推进《四川省农业科学院攀枝花市人民政府科技支撑攀枝花高质量发展建设共同富裕试验区战略合作协议》，多举措争取“四川省种质资源库攀西分库”项目，完成可行性研究报告编制；启动共建“中国-阿联酋椰枣试种基地（五十一试验点）”“攀西草业种质资源圃”“四川攀枝花荒漠生态系统定位观测研究站”等平台；省级“揭榜挂帅”项目1项。</w:t>
      </w:r>
    </w:p>
    <w:p w14:paraId="70752761">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2）强化科技成果转化服务，农业科技助力共同富裕试验区建设加快推进。一是健全引领机制。印发《加强农业科技力量建设助力高质量建设共同富裕试验区工作方案（2025-2030年）》，明确总体目标、重点任务，形成了路线图、时间表。二是成果转化展现新作为。建设中试熟化及核心示范基地39个9163亩，示范新品种、新技术84项/个，探索形成新机制、新模式3套，培训110期，培训实用人才5888人次。三是共富单元建设效果显著。在中高山地区建立示范基地4个309亩，转化魔芋、人参果、赤松茸等栽培技术，示范户亩均增收预计3000元以上。</w:t>
      </w:r>
    </w:p>
    <w:p w14:paraId="1EB8F3D9">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3）强化人才培养，科技创新活力进一步增强。一是人才队伍激发新活力。修订、制定人才激励制度，签订科技服务协议7个，科技人员积极性和主动性有效提升。二是人才培养实现新突破。入职硕士研究生4人；1人获省先进工作者荣誉称号、1人入选四川省弘扬科学家精神宣讲团；选派2人攻读博士研究生。三是对外合作交流展新貌。与科研院所签订合作协议5个，联合申报2022-2024年度全国农牧渔业丰收奖等奖项，选派50余人次参加学术交流活动，续任中国热带作物学会理事单位、四川农业科技理事会理事单位。</w:t>
      </w:r>
    </w:p>
    <w:p w14:paraId="106B879D">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4）坚持贯彻落实全面从严治党主体责任。一是理论武装进一步巩固。坚持以理论武装凝心铸魂、筑牢思想根基，开展学习研讨15次，严格落实“第一议题”制度。二是单位运行更加规范高效。以市委巡察为契机，从制度机制上剖析根源，新制定、修订制度22个，单位运行逐步规范化、制度化。三是党风廉政和反腐败工作扎实有效。深入贯彻中央八项规定精神学习教育，警示教育和廉洁提醒10余次，开展物资采购、科研项目等专项检查5次，一体推进学查改。</w:t>
      </w:r>
    </w:p>
    <w:p w14:paraId="76ADCEC6">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p>
    <w:p w14:paraId="4213A952">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严格《预算法》执行部门预算，按照财政批复的部门预算和绩效目标的项目和用途使用资金。支出报账支付时，严格审核，按照费用的实际用途进行资金支付和财务列报，严格按照政府会计制度进行财务核算。本单位严格按要求编制年初部门预算，确保年初预算编制的科学性和准确性。单位自有收入年初预算数200万元，收入决算数为170.87万元，单位统筹自有收入程度高。单位1-6月预算执行情况为45.75%，1-10月预算执行情况为74.53%，年末全面完成预算任务。各项开支符合国家财经法规和财务管理制度规定以及有关专项资金管理办法的规定。资金的拨付有完整的审批程序和手续，项目的重大开支提交党委会研究决定，符合部门预算批复的用途，不存在截留、挤占、挪用、虚列支出等情况。预算年终结余为非财政资金结余177.27万元。单位严控“三公”经费、会议、培训、差旅、办节办展、办公设备购置、信息网络及软件购置更新、课题经费等8项一般性支出。2024年及2025年三公经费年初预算数均为27.76万元，2025年预算执行数为27.12万元，较上年支出增加0.97万元。2025年会议费预算执行数为1.79万元，较上年支出减少3.17万元；培训费预算执行数为1.69万元，较上年支出减少6.04万元；差旅费预算执行数为36.56万元，较上年支出减少12.11万元；办公设备购置预算执行数5.81万元，较上年增加5.81万元。</w:t>
      </w:r>
    </w:p>
    <w:p w14:paraId="7BC3F4ED">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p>
    <w:p w14:paraId="529A3EA3">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严格按照《会计法》、《政府会计制度》等规定执行财务核算，确保单位经济活动合法合规，并结合实际情况，完整、准确地披露相关信息。完善财务管理制度，严格规范资金使用范围，确保财务信息真实完整。本单位建立了财务管理制度，财务岗位设置符合财务管理制度要求，资金使用符合财务管理制度要求。</w:t>
      </w:r>
    </w:p>
    <w:p w14:paraId="2A2EBE2A">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p>
    <w:p w14:paraId="477C81F7">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（1）资产管理制度健全性。本单位已制定资产管理制度，编制固定资产采购预算，相关资金管理制度合法、合规、完整；严格按程序要求做好资产报废、采购、管理工作。</w:t>
      </w:r>
    </w:p>
    <w:p w14:paraId="65116710">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（2）本部门固定资产由专人管理，资产保存完整、资产配置合理。按时完成资产月报、年报。</w:t>
      </w:r>
    </w:p>
    <w:p w14:paraId="41F5A95D">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（3）人均资产变化率、资产利用率、资产盘活率。本部门人均资产变化率12.88%，部门办公家具超最低使用年限资产利用率23.1%，部门办公设备超最低使用年限资产利用率21.79%。本部门无闲置资产。</w:t>
      </w:r>
    </w:p>
    <w:p w14:paraId="11E7BF84">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p>
    <w:p w14:paraId="2B133085">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本部门严格执行政府采购促进中小企业发展相关管理办法，2025年全年政府采购预算执行</w:t>
      </w:r>
      <w:r>
        <w:rPr>
          <w:rFonts w:hint="eastAsia" w:eastAsia="仿宋_GB2312" w:cs="仿宋_GB2312"/>
          <w:sz w:val="32"/>
          <w:szCs w:val="32"/>
        </w:rPr>
        <w:t>30.3</w:t>
      </w:r>
      <w:r>
        <w:rPr>
          <w:rFonts w:hint="eastAsia" w:eastAsia="仿宋_GB2312" w:cs="仿宋_GB2312"/>
          <w:sz w:val="32"/>
          <w:szCs w:val="32"/>
          <w:lang w:val="zh-CN"/>
        </w:rPr>
        <w:t>万元。</w:t>
      </w:r>
    </w:p>
    <w:p w14:paraId="5042A5EB">
      <w:pPr>
        <w:adjustRightInd w:val="0"/>
        <w:snapToGrid w:val="0"/>
        <w:spacing w:line="578" w:lineRule="exact"/>
        <w:ind w:firstLine="643" w:firstLineChars="20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14:paraId="30A6300F">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常年项目绩效分析。该类项目总数0个，涉及预算总金额0 万元，1—12月预算执行总体进度为0%，其中：预算结余率大于10%的项目共计0个。</w:t>
      </w:r>
    </w:p>
    <w:p w14:paraId="319A81A5">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阶段（含一次性）项目绩效分析。该类项目总数18个，涉及预算总金额801.09万元。</w:t>
      </w:r>
    </w:p>
    <w:p w14:paraId="3BED2240">
      <w:pPr>
        <w:pStyle w:val="30"/>
        <w:numPr>
          <w:ilvl w:val="0"/>
          <w:numId w:val="2"/>
        </w:numPr>
        <w:adjustRightInd w:val="0"/>
        <w:snapToGrid w:val="0"/>
        <w:spacing w:line="578" w:lineRule="exact"/>
        <w:ind w:firstLineChars="0"/>
        <w:contextualSpacing/>
        <w:rPr>
          <w:rFonts w:eastAsia="仿宋_GB2312" w:cs="仿宋_GB2312"/>
          <w:sz w:val="32"/>
          <w:szCs w:val="32"/>
          <w:lang w:val="zh-CN"/>
        </w:rPr>
      </w:pPr>
      <w:r>
        <w:rPr>
          <w:rFonts w:hint="eastAsia" w:eastAsia="仿宋_GB2312" w:cs="仿宋_GB2312"/>
          <w:sz w:val="32"/>
          <w:szCs w:val="32"/>
          <w:lang w:val="zh-CN"/>
        </w:rPr>
        <w:t>项目决策。</w:t>
      </w:r>
    </w:p>
    <w:p w14:paraId="480E4D30">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部门预算项目设立均按规定履行评估论证、申报程序。部门预算项目绩效目标与计划期内的任务量、预算安排的资金量匹配，绩效目标设置科学合理、规范完整、量化细化、预算匹配。部门预算项目2025年中央三区科技人才支持计划及四川省攀枝花市中型灌区农田灌溉水有效系数测算项目未在2025年9月30日前完成项目入库。</w:t>
      </w:r>
    </w:p>
    <w:p w14:paraId="1C339E11">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2.项目执行。</w:t>
      </w:r>
    </w:p>
    <w:p w14:paraId="3949EA25">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部门预算项目实际列支内容与绩效目标设置方向相符，采取根据项目实施实际需要调整预算及目标任务等处置措施，预算执行项目均为下达农业周期性项目经费总额，未按年度预算资金分解下达。</w:t>
      </w:r>
    </w:p>
    <w:p w14:paraId="3061FB32">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3.目标实现。</w:t>
      </w:r>
    </w:p>
    <w:p w14:paraId="47D0AB56">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部门预算阶段项目（含一次性项目）总数18个，完成绩效目标数量指标的部门预算阶段项目（含一次性项目）数量16个。其中高品质番茄科技成果转化示范基地建设项目因收果季节未到，未完成亩产测产指标；省级财政农业改革创新科技示范奖补专项资金项目受实施年限及时节影响未完成技术指导服务面积指标。目标偏离较小，部门预算项目绩效目标效益指标实施效果较为良好。</w:t>
      </w:r>
    </w:p>
    <w:p w14:paraId="6E4DD6AD">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本单位无债券资金和政府购买服务的情况。</w:t>
      </w:r>
    </w:p>
    <w:p w14:paraId="07935114">
      <w:pPr>
        <w:adjustRightInd w:val="0"/>
        <w:snapToGrid w:val="0"/>
        <w:spacing w:line="578" w:lineRule="exact"/>
        <w:ind w:firstLine="643" w:firstLineChars="20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p>
    <w:p w14:paraId="77400814">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1.内部应用情况。</w:t>
      </w:r>
    </w:p>
    <w:p w14:paraId="480309B3">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根据上年预算绩效自评结果适度拔高当年同类项目任务指标。</w:t>
      </w:r>
    </w:p>
    <w:p w14:paraId="3F219BEF">
      <w:pPr>
        <w:pStyle w:val="30"/>
        <w:numPr>
          <w:ilvl w:val="0"/>
          <w:numId w:val="2"/>
        </w:numPr>
        <w:adjustRightInd w:val="0"/>
        <w:snapToGrid w:val="0"/>
        <w:spacing w:line="578" w:lineRule="exact"/>
        <w:ind w:firstLineChars="0"/>
        <w:contextualSpacing/>
        <w:rPr>
          <w:rFonts w:eastAsia="仿宋_GB2312" w:cs="仿宋_GB2312"/>
          <w:sz w:val="32"/>
          <w:szCs w:val="32"/>
          <w:lang w:val="zh-CN"/>
        </w:rPr>
      </w:pPr>
      <w:r>
        <w:rPr>
          <w:rFonts w:hint="eastAsia" w:eastAsia="仿宋_GB2312" w:cs="仿宋_GB2312"/>
          <w:sz w:val="32"/>
          <w:szCs w:val="32"/>
          <w:lang w:val="zh-CN"/>
        </w:rPr>
        <w:t>信息公开情况。</w:t>
      </w:r>
    </w:p>
    <w:p w14:paraId="2B6A31D0">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本单位部门预决算及“三公”经费均在市财政局批复后向社会公开。</w:t>
      </w:r>
    </w:p>
    <w:p w14:paraId="4D52AD1D">
      <w:pPr>
        <w:pStyle w:val="30"/>
        <w:numPr>
          <w:ilvl w:val="0"/>
          <w:numId w:val="2"/>
        </w:numPr>
        <w:adjustRightInd w:val="0"/>
        <w:snapToGrid w:val="0"/>
        <w:spacing w:line="578" w:lineRule="exact"/>
        <w:ind w:firstLineChars="0"/>
        <w:contextualSpacing/>
        <w:rPr>
          <w:rFonts w:eastAsia="仿宋_GB2312" w:cs="仿宋_GB2312"/>
          <w:sz w:val="32"/>
          <w:szCs w:val="32"/>
          <w:lang w:val="zh-CN"/>
        </w:rPr>
      </w:pPr>
      <w:r>
        <w:rPr>
          <w:rFonts w:hint="eastAsia" w:eastAsia="仿宋_GB2312" w:cs="仿宋_GB2312"/>
          <w:sz w:val="32"/>
          <w:szCs w:val="32"/>
          <w:lang w:val="zh-CN"/>
        </w:rPr>
        <w:t>整改反馈情况。</w:t>
      </w:r>
    </w:p>
    <w:p w14:paraId="5AA0AAD3">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lang w:val="zh-CN"/>
        </w:rPr>
        <w:t>实时反馈绩效监督中存在的项目进度支付滞后问题，增强业务部门与财务部门的配合，加快项目支付进度。</w:t>
      </w:r>
    </w:p>
    <w:p w14:paraId="37AE2608">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12E3FE14">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6C54514A">
      <w:pPr>
        <w:widowControl/>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2025年我单位预算编制及时、准确、高质，预算执行情况良好，支出管理规范，未出现因违规支出受到相关监督部门批评或处理的情况；资金管理制度较为完善，会计核算和账务处理规范，会计资料真实、完整。</w:t>
      </w:r>
    </w:p>
    <w:p w14:paraId="4B77A616">
      <w:pPr>
        <w:widowControl/>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绩效评价指标总分值89.89分，总体绩效89.89分（其中履职效能 15分，预算管理17.07分，财务管理 12分，资产管理 7.7分，采购管理6 分），项目绩效 32.12分（项目决策10.56分，项目执行11.33分，目标实现 10.23分）</w:t>
      </w:r>
    </w:p>
    <w:p w14:paraId="42EEE72A">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5C489598">
      <w:pPr>
        <w:widowControl/>
        <w:adjustRightInd w:val="0"/>
        <w:snapToGrid w:val="0"/>
        <w:spacing w:line="578" w:lineRule="exact"/>
        <w:ind w:firstLine="640" w:firstLineChars="200"/>
        <w:contextualSpacing/>
        <w:jc w:val="left"/>
        <w:rPr>
          <w:rFonts w:eastAsia="仿宋_GB2312"/>
          <w:b/>
          <w:bCs/>
          <w:sz w:val="32"/>
          <w:szCs w:val="32"/>
        </w:rPr>
      </w:pPr>
      <w:r>
        <w:rPr>
          <w:rFonts w:hint="eastAsia" w:eastAsia="仿宋_GB2312"/>
          <w:bCs/>
          <w:sz w:val="32"/>
          <w:szCs w:val="32"/>
        </w:rPr>
        <w:t>我部门预算项目实施周期大多长于1年，预算项目实施周期内整体项目经费在项目实施第一年度下达，项目经费预算执行情况在现行预算绩效评价指标体系中不能真实反应。</w:t>
      </w:r>
    </w:p>
    <w:p w14:paraId="32E4FD26">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bookmarkStart w:id="78" w:name="_Hlk110546638"/>
    </w:p>
    <w:p w14:paraId="6759B978">
      <w:pPr>
        <w:widowControl/>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建议分年度下达实施周期长于1年的项目经费，从根本上解决预算执行与预算绩效评价指标体系指标差异情况。</w:t>
      </w:r>
    </w:p>
    <w:bookmarkEnd w:id="78"/>
    <w:p w14:paraId="09FA95E5">
      <w:pPr>
        <w:pStyle w:val="3"/>
        <w:spacing w:line="560" w:lineRule="exact"/>
        <w:ind w:left="0" w:leftChars="0" w:firstLine="0" w:firstLineChars="0"/>
        <w:rPr>
          <w:rFonts w:ascii="Times New Roman" w:eastAsia="仿宋_GB2312"/>
          <w:sz w:val="32"/>
          <w:lang w:val="zh-CN"/>
        </w:rPr>
      </w:pPr>
    </w:p>
    <w:p w14:paraId="22DB75AD">
      <w:pPr>
        <w:pStyle w:val="3"/>
        <w:spacing w:line="560" w:lineRule="exact"/>
        <w:ind w:left="0" w:leftChars="0" w:firstLine="0" w:firstLineChars="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部门预算项目支出绩效自评表（2025年度）</w:t>
      </w:r>
      <w:r>
        <w:rPr>
          <w:rFonts w:hint="eastAsia" w:eastAsia="黑体" w:cs="黑体"/>
          <w:kern w:val="0"/>
          <w:sz w:val="32"/>
          <w:shd w:val="clear" w:color="auto" w:fill="FFFFFF"/>
          <w:lang w:val="zh-CN"/>
        </w:rPr>
        <w:br w:type="page"/>
      </w:r>
    </w:p>
    <w:p w14:paraId="54187455">
      <w:pPr>
        <w:pStyle w:val="37"/>
        <w:spacing w:line="600" w:lineRule="exact"/>
        <w:ind w:left="420"/>
        <w:jc w:val="center"/>
        <w:rPr>
          <w:rFonts w:hint="eastAsia" w:eastAsia="方正小标宋简体"/>
          <w:sz w:val="40"/>
          <w:szCs w:val="40"/>
        </w:rPr>
      </w:pPr>
      <w:r>
        <w:rPr>
          <w:rFonts w:eastAsia="方正小标宋简体"/>
          <w:sz w:val="40"/>
          <w:szCs w:val="40"/>
        </w:rPr>
        <w:t>专项预算项目支出绩效自评报告</w:t>
      </w:r>
    </w:p>
    <w:p w14:paraId="3A92B6E3">
      <w:pPr>
        <w:pStyle w:val="37"/>
        <w:spacing w:line="600" w:lineRule="exact"/>
        <w:ind w:left="420"/>
        <w:jc w:val="center"/>
        <w:rPr>
          <w:rFonts w:ascii="Times New Roman" w:hAnsi="Times New Roman" w:eastAsia="方正小标宋简体"/>
          <w:color w:val="auto"/>
          <w:kern w:val="2"/>
          <w:sz w:val="40"/>
          <w:szCs w:val="40"/>
        </w:rPr>
      </w:pPr>
      <w:r>
        <w:rPr>
          <w:rFonts w:hint="eastAsia" w:ascii="Times New Roman" w:hAnsi="Times New Roman" w:eastAsia="方正小标宋简体"/>
          <w:color w:val="auto"/>
          <w:kern w:val="2"/>
          <w:sz w:val="40"/>
          <w:szCs w:val="40"/>
        </w:rPr>
        <w:t>生态功能区转移支付项目</w:t>
      </w:r>
    </w:p>
    <w:p w14:paraId="2A017C16">
      <w:pPr>
        <w:spacing w:line="600" w:lineRule="exact"/>
        <w:rPr>
          <w:sz w:val="32"/>
          <w:szCs w:val="32"/>
          <w:lang w:val="zh-CN"/>
        </w:rPr>
      </w:pPr>
    </w:p>
    <w:p w14:paraId="5ED2607A">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7E2D523F">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7C7DE41A">
      <w:pPr>
        <w:adjustRightInd w:val="0"/>
        <w:snapToGrid w:val="0"/>
        <w:spacing w:line="600" w:lineRule="exact"/>
        <w:ind w:firstLine="720"/>
        <w:rPr>
          <w:rFonts w:eastAsia="仿宋_GB2312"/>
          <w:sz w:val="32"/>
          <w:szCs w:val="32"/>
          <w:lang w:val="zh-CN"/>
        </w:rPr>
      </w:pPr>
      <w:bookmarkStart w:id="79" w:name="OLE_LINK4"/>
      <w:r>
        <w:rPr>
          <w:rFonts w:eastAsia="仿宋_GB2312"/>
          <w:sz w:val="32"/>
          <w:szCs w:val="32"/>
          <w:lang w:val="zh-CN"/>
        </w:rPr>
        <w:t>1.</w:t>
      </w:r>
      <w:r>
        <w:rPr>
          <w:rFonts w:hint="eastAsia" w:eastAsia="仿宋_GB2312"/>
          <w:b/>
          <w:sz w:val="32"/>
          <w:szCs w:val="32"/>
          <w:lang w:val="zh-CN"/>
        </w:rPr>
        <w:t>说明项目主管部门在该项目管理中的职能。</w:t>
      </w:r>
      <w:r>
        <w:rPr>
          <w:rFonts w:hint="eastAsia" w:eastAsia="仿宋_GB2312"/>
          <w:sz w:val="32"/>
          <w:szCs w:val="32"/>
          <w:lang w:val="zh-CN"/>
        </w:rPr>
        <w:t>本项目主管部门为攀枝花市农林科学研究院，主要对项目目标、实施方案提出建议和意见，对项目实施开展监督。</w:t>
      </w:r>
    </w:p>
    <w:bookmarkEnd w:id="79"/>
    <w:p w14:paraId="39012DFF">
      <w:pPr>
        <w:adjustRightInd w:val="0"/>
        <w:snapToGrid w:val="0"/>
        <w:spacing w:line="600" w:lineRule="exact"/>
        <w:ind w:firstLine="720"/>
        <w:rPr>
          <w:rFonts w:eastAsia="仿宋_GB2312"/>
          <w:sz w:val="32"/>
          <w:szCs w:val="32"/>
          <w:lang w:val="zh-CN"/>
        </w:rPr>
      </w:pPr>
      <w:r>
        <w:rPr>
          <w:rFonts w:eastAsia="仿宋_GB2312"/>
          <w:b/>
          <w:sz w:val="32"/>
          <w:szCs w:val="32"/>
          <w:lang w:val="zh-CN"/>
        </w:rPr>
        <w:t>2.</w:t>
      </w:r>
      <w:r>
        <w:rPr>
          <w:rFonts w:hint="eastAsia" w:eastAsia="仿宋_GB2312"/>
          <w:b/>
          <w:sz w:val="32"/>
          <w:szCs w:val="32"/>
          <w:lang w:val="zh-CN"/>
        </w:rPr>
        <w:t>项目立项、资金申报的依据。</w:t>
      </w:r>
      <w:r>
        <w:rPr>
          <w:rFonts w:hint="eastAsia" w:eastAsia="仿宋_GB2312"/>
          <w:sz w:val="32"/>
          <w:szCs w:val="32"/>
        </w:rPr>
        <w:t>项目资金来源渠道为生态功能区转移支付资金，渠道合法合规。项目成果实现对林业产业增产增收、恢复种植信心、维持社会稳定具有重要的意义，更是落实国家“绿水青山就是金山银山”的发展战略，具有公共性，属于公共财政支持范围，筹资渠道符合法律法规规定，筹资结构合理，资金来源渠道明确，资金到位时间、条件能够落实。</w:t>
      </w:r>
    </w:p>
    <w:p w14:paraId="635FB627">
      <w:pPr>
        <w:adjustRightInd w:val="0"/>
        <w:snapToGrid w:val="0"/>
        <w:spacing w:line="600" w:lineRule="exact"/>
        <w:ind w:firstLine="720"/>
        <w:rPr>
          <w:rFonts w:eastAsia="仿宋_GB2312"/>
          <w:b/>
          <w:sz w:val="32"/>
          <w:szCs w:val="32"/>
          <w:lang w:val="zh-CN"/>
        </w:rPr>
      </w:pPr>
      <w:r>
        <w:rPr>
          <w:rFonts w:eastAsia="仿宋_GB2312"/>
          <w:sz w:val="32"/>
          <w:szCs w:val="32"/>
          <w:lang w:val="zh-CN"/>
        </w:rPr>
        <w:t>3</w:t>
      </w:r>
      <w:r>
        <w:rPr>
          <w:rFonts w:hint="eastAsia" w:eastAsia="仿宋_GB2312"/>
          <w:sz w:val="32"/>
          <w:szCs w:val="32"/>
          <w:lang w:val="zh-CN"/>
        </w:rPr>
        <w:t>．</w:t>
      </w:r>
      <w:r>
        <w:rPr>
          <w:rFonts w:hint="eastAsia" w:eastAsia="仿宋_GB2312"/>
          <w:b/>
          <w:sz w:val="32"/>
          <w:szCs w:val="32"/>
          <w:lang w:val="zh-CN"/>
        </w:rPr>
        <w:t>资金管理办法制定情况，资金支持具体项目的条件、范围与支持方式概况。</w:t>
      </w:r>
      <w:r>
        <w:rPr>
          <w:rFonts w:hint="eastAsia" w:eastAsia="仿宋_GB2312"/>
          <w:sz w:val="32"/>
          <w:szCs w:val="32"/>
          <w:lang w:val="zh-CN"/>
        </w:rPr>
        <w:t>项目承担单位根据四川省科技厅印发《四川省科技计划管理办法》川科政（</w:t>
      </w:r>
      <w:r>
        <w:rPr>
          <w:rFonts w:eastAsia="仿宋_GB2312"/>
          <w:sz w:val="32"/>
          <w:szCs w:val="32"/>
          <w:lang w:val="zh-CN"/>
        </w:rPr>
        <w:t>2022</w:t>
      </w:r>
      <w:r>
        <w:rPr>
          <w:rFonts w:hint="eastAsia" w:eastAsia="仿宋_GB2312"/>
          <w:sz w:val="32"/>
          <w:szCs w:val="32"/>
          <w:lang w:val="zh-CN"/>
        </w:rPr>
        <w:t>）</w:t>
      </w:r>
      <w:r>
        <w:rPr>
          <w:rFonts w:eastAsia="仿宋_GB2312"/>
          <w:sz w:val="32"/>
          <w:szCs w:val="32"/>
          <w:lang w:val="zh-CN"/>
        </w:rPr>
        <w:t>4</w:t>
      </w:r>
      <w:r>
        <w:rPr>
          <w:rFonts w:hint="eastAsia" w:eastAsia="仿宋_GB2312"/>
          <w:sz w:val="32"/>
          <w:szCs w:val="32"/>
          <w:lang w:val="zh-CN"/>
        </w:rPr>
        <w:t>号、四川省财政厅、四川省科学技术厅印发《关于改革完善省级财政科研经费管理的实施意见》等科研项目及经费管理办法等，结合单位实际，制定了《攀枝花市农林科学研究院财务管理办法》和《攀枝花市农林科学研究院非政府采购类项目的采购管理办法》攀农林（</w:t>
      </w:r>
      <w:r>
        <w:rPr>
          <w:rFonts w:eastAsia="仿宋_GB2312"/>
          <w:sz w:val="32"/>
          <w:szCs w:val="32"/>
          <w:lang w:val="zh-CN"/>
        </w:rPr>
        <w:t>2025</w:t>
      </w:r>
      <w:r>
        <w:rPr>
          <w:rFonts w:hint="eastAsia" w:eastAsia="仿宋_GB2312"/>
          <w:sz w:val="32"/>
          <w:szCs w:val="32"/>
          <w:lang w:val="zh-CN"/>
        </w:rPr>
        <w:t>）</w:t>
      </w:r>
      <w:r>
        <w:rPr>
          <w:rFonts w:eastAsia="仿宋_GB2312"/>
          <w:sz w:val="32"/>
          <w:szCs w:val="32"/>
          <w:lang w:val="zh-CN"/>
        </w:rPr>
        <w:t>47</w:t>
      </w:r>
      <w:r>
        <w:rPr>
          <w:rFonts w:hint="eastAsia" w:eastAsia="仿宋_GB2312"/>
          <w:sz w:val="32"/>
          <w:szCs w:val="32"/>
          <w:lang w:val="zh-CN"/>
        </w:rPr>
        <w:t>号。项目经费实行专款专用，严格按照规定实行逐级审核的报账制度。</w:t>
      </w:r>
    </w:p>
    <w:p w14:paraId="074F1B84">
      <w:pPr>
        <w:adjustRightInd w:val="0"/>
        <w:snapToGrid w:val="0"/>
        <w:spacing w:line="600" w:lineRule="exact"/>
        <w:ind w:firstLine="720"/>
        <w:rPr>
          <w:rFonts w:eastAsia="仿宋_GB2312"/>
          <w:b/>
          <w:sz w:val="32"/>
          <w:szCs w:val="32"/>
          <w:lang w:val="zh-CN"/>
        </w:rPr>
      </w:pPr>
      <w:r>
        <w:rPr>
          <w:rFonts w:eastAsia="仿宋_GB2312"/>
          <w:b/>
          <w:sz w:val="32"/>
          <w:szCs w:val="32"/>
          <w:lang w:val="zh-CN"/>
        </w:rPr>
        <w:t>4.</w:t>
      </w:r>
      <w:r>
        <w:rPr>
          <w:rFonts w:hint="eastAsia" w:eastAsia="仿宋_GB2312"/>
          <w:b/>
          <w:sz w:val="32"/>
          <w:szCs w:val="32"/>
          <w:lang w:val="zh-CN"/>
        </w:rPr>
        <w:t>资金分配的原则及考虑因素。</w:t>
      </w:r>
      <w:r>
        <w:rPr>
          <w:rFonts w:hint="eastAsia" w:eastAsia="仿宋_GB2312"/>
          <w:sz w:val="32"/>
          <w:szCs w:val="32"/>
        </w:rPr>
        <w:t>本项目资金预算</w:t>
      </w:r>
      <w:r>
        <w:rPr>
          <w:rFonts w:eastAsia="仿宋_GB2312"/>
          <w:sz w:val="32"/>
          <w:szCs w:val="32"/>
        </w:rPr>
        <w:t>100</w:t>
      </w:r>
      <w:r>
        <w:rPr>
          <w:rFonts w:hint="eastAsia" w:eastAsia="仿宋_GB2312"/>
          <w:sz w:val="32"/>
          <w:szCs w:val="32"/>
        </w:rPr>
        <w:t>万元，其中攀枝花林业主要有害生物防控技术研究</w:t>
      </w:r>
      <w:r>
        <w:rPr>
          <w:rFonts w:eastAsia="仿宋_GB2312"/>
          <w:sz w:val="32"/>
          <w:szCs w:val="32"/>
        </w:rPr>
        <w:t>20</w:t>
      </w:r>
      <w:r>
        <w:rPr>
          <w:rFonts w:hint="eastAsia" w:eastAsia="仿宋_GB2312"/>
          <w:sz w:val="32"/>
          <w:szCs w:val="32"/>
        </w:rPr>
        <w:t>万，用于开展有害生物种类及生活史调查，摸清其发生规律，编写其不同虫态原色图谱资料，筛选出防治效果较好的药剂。块菌生态培育技术集成与示范</w:t>
      </w:r>
      <w:r>
        <w:rPr>
          <w:rFonts w:eastAsia="仿宋_GB2312"/>
          <w:sz w:val="32"/>
          <w:szCs w:val="32"/>
        </w:rPr>
        <w:t>30</w:t>
      </w:r>
      <w:r>
        <w:rPr>
          <w:rFonts w:hint="eastAsia" w:eastAsia="仿宋_GB2312"/>
          <w:sz w:val="32"/>
          <w:szCs w:val="32"/>
        </w:rPr>
        <w:t>万，用于培育优质块菌菌根苗</w:t>
      </w:r>
      <w:r>
        <w:rPr>
          <w:rFonts w:eastAsia="仿宋_GB2312"/>
          <w:sz w:val="32"/>
          <w:szCs w:val="32"/>
        </w:rPr>
        <w:t>5000</w:t>
      </w:r>
      <w:r>
        <w:rPr>
          <w:rFonts w:hint="eastAsia" w:eastAsia="仿宋_GB2312"/>
          <w:sz w:val="32"/>
          <w:szCs w:val="32"/>
        </w:rPr>
        <w:t>株，新建块菌生态培育示范基地</w:t>
      </w:r>
      <w:r>
        <w:rPr>
          <w:rFonts w:eastAsia="仿宋_GB2312"/>
          <w:sz w:val="32"/>
          <w:szCs w:val="32"/>
        </w:rPr>
        <w:t>30</w:t>
      </w:r>
      <w:r>
        <w:rPr>
          <w:rFonts w:hint="eastAsia" w:eastAsia="仿宋_GB2312"/>
          <w:sz w:val="32"/>
          <w:szCs w:val="32"/>
        </w:rPr>
        <w:t>亩，创新集成块菌生态培育技术</w:t>
      </w:r>
      <w:r>
        <w:rPr>
          <w:rFonts w:eastAsia="仿宋_GB2312"/>
          <w:sz w:val="32"/>
          <w:szCs w:val="32"/>
        </w:rPr>
        <w:t>1</w:t>
      </w:r>
      <w:r>
        <w:rPr>
          <w:rFonts w:hint="eastAsia" w:eastAsia="仿宋_GB2312"/>
          <w:sz w:val="32"/>
          <w:szCs w:val="32"/>
        </w:rPr>
        <w:t>套，编写手册</w:t>
      </w:r>
      <w:r>
        <w:rPr>
          <w:rFonts w:eastAsia="仿宋_GB2312"/>
          <w:sz w:val="32"/>
          <w:szCs w:val="32"/>
        </w:rPr>
        <w:t>1</w:t>
      </w:r>
      <w:r>
        <w:rPr>
          <w:rFonts w:hint="eastAsia" w:eastAsia="仿宋_GB2312"/>
          <w:sz w:val="32"/>
          <w:szCs w:val="32"/>
        </w:rPr>
        <w:t>册。攀枝花中高山地区林地综合效益提升示范</w:t>
      </w:r>
      <w:r>
        <w:rPr>
          <w:rFonts w:eastAsia="仿宋_GB2312"/>
          <w:sz w:val="32"/>
          <w:szCs w:val="32"/>
        </w:rPr>
        <w:t>30</w:t>
      </w:r>
      <w:r>
        <w:rPr>
          <w:rFonts w:hint="eastAsia" w:eastAsia="仿宋_GB2312"/>
          <w:sz w:val="32"/>
          <w:szCs w:val="32"/>
        </w:rPr>
        <w:t>万，用于提升攀枝花市中高山地区林地综合效益为目的的中药材续断、魔芋种植技术示范和药用植物活血丹种植技术示范，培养特色种植业以提升中高山地区林地综合效益。攀枝花市核桃优良品种选育</w:t>
      </w:r>
      <w:r>
        <w:rPr>
          <w:rFonts w:eastAsia="仿宋_GB2312"/>
          <w:sz w:val="32"/>
          <w:szCs w:val="32"/>
        </w:rPr>
        <w:t>20</w:t>
      </w:r>
      <w:r>
        <w:rPr>
          <w:rFonts w:hint="eastAsia" w:eastAsia="仿宋_GB2312"/>
          <w:sz w:val="32"/>
          <w:szCs w:val="32"/>
        </w:rPr>
        <w:t>万，用于深挖攀枝花具有地域特色的优良种源，筛选</w:t>
      </w:r>
      <w:r>
        <w:rPr>
          <w:rFonts w:eastAsia="仿宋_GB2312"/>
          <w:sz w:val="32"/>
          <w:szCs w:val="32"/>
        </w:rPr>
        <w:t>3-4</w:t>
      </w:r>
      <w:r>
        <w:rPr>
          <w:rFonts w:hint="eastAsia" w:eastAsia="仿宋_GB2312"/>
          <w:sz w:val="32"/>
          <w:szCs w:val="32"/>
        </w:rPr>
        <w:t>个良种材料，确定攀核</w:t>
      </w:r>
      <w:r>
        <w:rPr>
          <w:rFonts w:eastAsia="仿宋_GB2312"/>
          <w:sz w:val="32"/>
          <w:szCs w:val="32"/>
        </w:rPr>
        <w:t>1</w:t>
      </w:r>
      <w:r>
        <w:rPr>
          <w:rFonts w:hint="eastAsia" w:eastAsia="仿宋_GB2312"/>
          <w:sz w:val="32"/>
          <w:szCs w:val="32"/>
        </w:rPr>
        <w:t>号生产试验点。</w:t>
      </w:r>
    </w:p>
    <w:p w14:paraId="58598063">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023E7F90">
      <w:pPr>
        <w:adjustRightInd w:val="0"/>
        <w:snapToGrid w:val="0"/>
        <w:spacing w:line="600" w:lineRule="exact"/>
        <w:ind w:firstLine="720"/>
        <w:rPr>
          <w:rFonts w:eastAsia="仿宋_GB2312"/>
          <w:b/>
          <w:sz w:val="32"/>
          <w:szCs w:val="32"/>
          <w:lang w:val="zh-CN"/>
        </w:rPr>
      </w:pPr>
      <w:r>
        <w:rPr>
          <w:rFonts w:eastAsia="仿宋_GB2312"/>
          <w:b/>
          <w:sz w:val="32"/>
          <w:szCs w:val="32"/>
          <w:lang w:val="zh-CN"/>
        </w:rPr>
        <w:t>1.项目主要内容。</w:t>
      </w:r>
    </w:p>
    <w:p w14:paraId="72E113F9">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（1）培育优质块菌菌根苗5000株，菌根感染率大于75%；新建块菌生态培育示范基地30亩，成活率大于90%；创新集成块菌生态培育技术1套，编写手册1册。</w:t>
      </w:r>
    </w:p>
    <w:p w14:paraId="101B70DC">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（2）确定3-4个良种材料；确定攀核1号生产试验点2-3个，区域试验点3个，开展试验点的管护；制定核桃地方标准4-6项。</w:t>
      </w:r>
    </w:p>
    <w:p w14:paraId="10DDA67B">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3）中高山地区林地续断种植技术示范面积30亩，推广面积200亩；中高山地区林地魔芋种植技术示范，面积10亩；中高山地区林地续断、魔芋种植技术示范培训8期合计200人次；总结出中高山林地种植续断、魔芋效益经济模式技术 1套；形成中高山林地续断种植技术手册1篇。</w:t>
      </w:r>
    </w:p>
    <w:p w14:paraId="2020816D">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4）建设活血丹种植示范基地2个，种植大户2户，其中：永兴镇种植活血丹5-10亩，温泉乡活血丹种植30亩以上，发展白地榆种植面积1-2亩；举办活血丹种子繁殖、扦插繁殖关键技术、药材综合利用等配套技术服务和技术培训3期以上；项目结束时示范区具备年种植100亩以上的规模；配套标准化活血丹种植设施设备、配套种植技术（方案）一套。</w:t>
      </w:r>
    </w:p>
    <w:p w14:paraId="0957F9AD">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5）开展异常枯死松树、松木材及其制品快速检测、线虫种类鉴定，明确松树异常枯死的原因及线虫种类，形成一套线虫防控技术；针对危害云南油杉的1种尺蠖开展防控技术研究，明确其种类及生活史，摸清其发生规律，编写其不同虫态原色图谱资料，筛选出防治效果较好的药剂。</w:t>
      </w:r>
    </w:p>
    <w:p w14:paraId="133D03DC">
      <w:pPr>
        <w:adjustRightInd w:val="0"/>
        <w:snapToGrid w:val="0"/>
        <w:spacing w:line="600" w:lineRule="exact"/>
        <w:ind w:firstLine="720"/>
        <w:rPr>
          <w:rFonts w:eastAsia="仿宋_GB2312"/>
          <w:b/>
          <w:sz w:val="32"/>
          <w:szCs w:val="32"/>
          <w:lang w:val="zh-CN"/>
        </w:rPr>
      </w:pPr>
      <w:r>
        <w:rPr>
          <w:rFonts w:eastAsia="仿宋_GB2312"/>
          <w:b/>
          <w:sz w:val="32"/>
          <w:szCs w:val="32"/>
          <w:lang w:val="zh-CN"/>
        </w:rPr>
        <w:t>2.项目应实现的具体绩效目标，包括目标的量化、细化情况以及项目实施进度计划等。</w:t>
      </w:r>
      <w:r>
        <w:rPr>
          <w:rFonts w:hint="eastAsia" w:eastAsia="仿宋_GB2312"/>
          <w:sz w:val="32"/>
          <w:szCs w:val="32"/>
        </w:rPr>
        <w:t>项目绩效目标量化可考核，与项目总体目标相匹配，全面完整，与国家、省、市政策相契合，与省林草局和市林业局长期规划目标、年度工作目标相一致，产出和效果相关联，群众满意度指标预测较准确（详见下表）。</w:t>
      </w:r>
    </w:p>
    <w:tbl>
      <w:tblPr>
        <w:tblStyle w:val="18"/>
        <w:tblW w:w="8630" w:type="dxa"/>
        <w:tblInd w:w="108" w:type="dxa"/>
        <w:tblLayout w:type="fixed"/>
        <w:tblCellMar>
          <w:top w:w="0" w:type="dxa"/>
          <w:left w:w="108" w:type="dxa"/>
          <w:bottom w:w="0" w:type="dxa"/>
          <w:right w:w="108" w:type="dxa"/>
        </w:tblCellMar>
      </w:tblPr>
      <w:tblGrid>
        <w:gridCol w:w="770"/>
        <w:gridCol w:w="771"/>
        <w:gridCol w:w="4555"/>
        <w:gridCol w:w="2534"/>
      </w:tblGrid>
      <w:tr w14:paraId="66BC5126">
        <w:tblPrEx>
          <w:tblCellMar>
            <w:top w:w="0" w:type="dxa"/>
            <w:left w:w="108" w:type="dxa"/>
            <w:bottom w:w="0" w:type="dxa"/>
            <w:right w:w="108" w:type="dxa"/>
          </w:tblCellMar>
        </w:tblPrEx>
        <w:trPr>
          <w:trHeight w:val="276" w:hRule="atLeast"/>
        </w:trPr>
        <w:tc>
          <w:tcPr>
            <w:tcW w:w="770" w:type="dxa"/>
            <w:tcBorders>
              <w:top w:val="single" w:color="auto" w:sz="4" w:space="0"/>
              <w:left w:val="single" w:color="auto" w:sz="4" w:space="0"/>
              <w:bottom w:val="single" w:color="auto" w:sz="4" w:space="0"/>
              <w:right w:val="single" w:color="auto" w:sz="4" w:space="0"/>
            </w:tcBorders>
            <w:noWrap/>
            <w:vAlign w:val="center"/>
          </w:tcPr>
          <w:p w14:paraId="6661CE2C">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一级指标</w:t>
            </w:r>
          </w:p>
        </w:tc>
        <w:tc>
          <w:tcPr>
            <w:tcW w:w="771" w:type="dxa"/>
            <w:tcBorders>
              <w:top w:val="single" w:color="auto" w:sz="4" w:space="0"/>
              <w:left w:val="nil"/>
              <w:bottom w:val="single" w:color="auto" w:sz="4" w:space="0"/>
              <w:right w:val="single" w:color="auto" w:sz="4" w:space="0"/>
            </w:tcBorders>
            <w:noWrap/>
            <w:vAlign w:val="center"/>
          </w:tcPr>
          <w:p w14:paraId="28C68CBD">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二级指标</w:t>
            </w:r>
          </w:p>
        </w:tc>
        <w:tc>
          <w:tcPr>
            <w:tcW w:w="4555" w:type="dxa"/>
            <w:tcBorders>
              <w:top w:val="single" w:color="auto" w:sz="4" w:space="0"/>
              <w:left w:val="nil"/>
              <w:bottom w:val="single" w:color="auto" w:sz="4" w:space="0"/>
              <w:right w:val="single" w:color="auto" w:sz="4" w:space="0"/>
            </w:tcBorders>
            <w:noWrap/>
            <w:vAlign w:val="center"/>
          </w:tcPr>
          <w:p w14:paraId="0B66D0E3">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三级指标</w:t>
            </w:r>
          </w:p>
        </w:tc>
        <w:tc>
          <w:tcPr>
            <w:tcW w:w="2534" w:type="dxa"/>
            <w:tcBorders>
              <w:top w:val="single" w:color="auto" w:sz="4" w:space="0"/>
              <w:left w:val="nil"/>
              <w:bottom w:val="single" w:color="auto" w:sz="4" w:space="0"/>
              <w:right w:val="single" w:color="auto" w:sz="4" w:space="0"/>
            </w:tcBorders>
            <w:noWrap/>
            <w:vAlign w:val="center"/>
          </w:tcPr>
          <w:p w14:paraId="161ACBAC">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指标值</w:t>
            </w:r>
          </w:p>
        </w:tc>
      </w:tr>
      <w:tr w14:paraId="778791C3">
        <w:tblPrEx>
          <w:tblCellMar>
            <w:top w:w="0" w:type="dxa"/>
            <w:left w:w="108" w:type="dxa"/>
            <w:bottom w:w="0" w:type="dxa"/>
            <w:right w:w="108" w:type="dxa"/>
          </w:tblCellMar>
        </w:tblPrEx>
        <w:trPr>
          <w:trHeight w:val="276" w:hRule="atLeast"/>
        </w:trPr>
        <w:tc>
          <w:tcPr>
            <w:tcW w:w="770" w:type="dxa"/>
            <w:vMerge w:val="restart"/>
            <w:tcBorders>
              <w:top w:val="single" w:color="auto" w:sz="4" w:space="0"/>
              <w:left w:val="single" w:color="auto" w:sz="4" w:space="0"/>
              <w:bottom w:val="single" w:color="auto" w:sz="4" w:space="0"/>
              <w:right w:val="single" w:color="auto" w:sz="4" w:space="0"/>
            </w:tcBorders>
            <w:noWrap/>
            <w:vAlign w:val="center"/>
          </w:tcPr>
          <w:p w14:paraId="78CA9A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产出指标</w:t>
            </w:r>
          </w:p>
        </w:tc>
        <w:tc>
          <w:tcPr>
            <w:tcW w:w="771" w:type="dxa"/>
            <w:vMerge w:val="restart"/>
            <w:tcBorders>
              <w:top w:val="single" w:color="auto" w:sz="4" w:space="0"/>
              <w:left w:val="single" w:color="auto" w:sz="4" w:space="0"/>
              <w:bottom w:val="single" w:color="auto" w:sz="4" w:space="0"/>
              <w:right w:val="single" w:color="auto" w:sz="4" w:space="0"/>
            </w:tcBorders>
            <w:noWrap/>
            <w:vAlign w:val="center"/>
          </w:tcPr>
          <w:p w14:paraId="3A87AF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数量指标</w:t>
            </w:r>
          </w:p>
        </w:tc>
        <w:tc>
          <w:tcPr>
            <w:tcW w:w="4555" w:type="dxa"/>
            <w:tcBorders>
              <w:top w:val="single" w:color="auto" w:sz="4" w:space="0"/>
              <w:left w:val="nil"/>
              <w:bottom w:val="single" w:color="auto" w:sz="4" w:space="0"/>
              <w:right w:val="nil"/>
            </w:tcBorders>
            <w:noWrap/>
            <w:vAlign w:val="center"/>
          </w:tcPr>
          <w:p w14:paraId="7A3CD8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块菌菌根苗</w:t>
            </w:r>
          </w:p>
        </w:tc>
        <w:tc>
          <w:tcPr>
            <w:tcW w:w="2534" w:type="dxa"/>
            <w:tcBorders>
              <w:top w:val="single" w:color="auto" w:sz="4" w:space="0"/>
              <w:left w:val="single" w:color="auto" w:sz="4" w:space="0"/>
              <w:bottom w:val="single" w:color="auto" w:sz="4" w:space="0"/>
              <w:right w:val="single" w:color="auto" w:sz="4" w:space="0"/>
            </w:tcBorders>
            <w:noWrap/>
            <w:vAlign w:val="center"/>
          </w:tcPr>
          <w:p w14:paraId="601328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5000株</w:t>
            </w:r>
          </w:p>
        </w:tc>
      </w:tr>
      <w:tr w14:paraId="23C79763">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03C36EA"/>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8C49EBD"/>
        </w:tc>
        <w:tc>
          <w:tcPr>
            <w:tcW w:w="4555" w:type="dxa"/>
            <w:tcBorders>
              <w:top w:val="single" w:color="auto" w:sz="4" w:space="0"/>
              <w:left w:val="nil"/>
              <w:bottom w:val="single" w:color="auto" w:sz="4" w:space="0"/>
              <w:right w:val="nil"/>
            </w:tcBorders>
            <w:noWrap/>
            <w:vAlign w:val="center"/>
          </w:tcPr>
          <w:p w14:paraId="79CEE6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新建块菌培育示范基地</w:t>
            </w:r>
          </w:p>
        </w:tc>
        <w:tc>
          <w:tcPr>
            <w:tcW w:w="2534" w:type="dxa"/>
            <w:tcBorders>
              <w:top w:val="single" w:color="auto" w:sz="4" w:space="0"/>
              <w:left w:val="single" w:color="auto" w:sz="4" w:space="0"/>
              <w:bottom w:val="single" w:color="auto" w:sz="4" w:space="0"/>
              <w:right w:val="single" w:color="auto" w:sz="4" w:space="0"/>
            </w:tcBorders>
            <w:noWrap/>
            <w:vAlign w:val="center"/>
          </w:tcPr>
          <w:p w14:paraId="406F73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30亩</w:t>
            </w:r>
          </w:p>
        </w:tc>
      </w:tr>
      <w:tr w14:paraId="75984839">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1A209D8"/>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29EE5D4A"/>
        </w:tc>
        <w:tc>
          <w:tcPr>
            <w:tcW w:w="4555" w:type="dxa"/>
            <w:tcBorders>
              <w:top w:val="single" w:color="auto" w:sz="4" w:space="0"/>
              <w:left w:val="nil"/>
              <w:bottom w:val="single" w:color="auto" w:sz="4" w:space="0"/>
              <w:right w:val="nil"/>
            </w:tcBorders>
            <w:noWrap/>
            <w:vAlign w:val="center"/>
          </w:tcPr>
          <w:p w14:paraId="4765BE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块菌生态培育技术</w:t>
            </w:r>
          </w:p>
        </w:tc>
        <w:tc>
          <w:tcPr>
            <w:tcW w:w="2534" w:type="dxa"/>
            <w:tcBorders>
              <w:top w:val="single" w:color="auto" w:sz="4" w:space="0"/>
              <w:left w:val="single" w:color="auto" w:sz="4" w:space="0"/>
              <w:bottom w:val="single" w:color="auto" w:sz="4" w:space="0"/>
              <w:right w:val="single" w:color="auto" w:sz="4" w:space="0"/>
            </w:tcBorders>
            <w:noWrap/>
            <w:vAlign w:val="center"/>
          </w:tcPr>
          <w:p w14:paraId="407C0D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1套</w:t>
            </w:r>
          </w:p>
        </w:tc>
      </w:tr>
      <w:tr w14:paraId="592CBEE6">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6C2E9E17"/>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41D4D8E"/>
        </w:tc>
        <w:tc>
          <w:tcPr>
            <w:tcW w:w="4555" w:type="dxa"/>
            <w:tcBorders>
              <w:top w:val="single" w:color="auto" w:sz="4" w:space="0"/>
              <w:left w:val="nil"/>
              <w:bottom w:val="single" w:color="auto" w:sz="4" w:space="0"/>
              <w:right w:val="nil"/>
            </w:tcBorders>
            <w:noWrap/>
            <w:vAlign w:val="center"/>
          </w:tcPr>
          <w:p w14:paraId="5FE23E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确定良种材料</w:t>
            </w:r>
          </w:p>
        </w:tc>
        <w:tc>
          <w:tcPr>
            <w:tcW w:w="2534" w:type="dxa"/>
            <w:tcBorders>
              <w:top w:val="single" w:color="auto" w:sz="4" w:space="0"/>
              <w:left w:val="single" w:color="auto" w:sz="4" w:space="0"/>
              <w:bottom w:val="single" w:color="auto" w:sz="4" w:space="0"/>
              <w:right w:val="single" w:color="auto" w:sz="4" w:space="0"/>
            </w:tcBorders>
            <w:noWrap/>
            <w:vAlign w:val="center"/>
          </w:tcPr>
          <w:p w14:paraId="4BD567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3个</w:t>
            </w:r>
          </w:p>
        </w:tc>
      </w:tr>
      <w:tr w14:paraId="35D3E2BB">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712D6502"/>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0948F557"/>
        </w:tc>
        <w:tc>
          <w:tcPr>
            <w:tcW w:w="4555" w:type="dxa"/>
            <w:tcBorders>
              <w:top w:val="single" w:color="auto" w:sz="4" w:space="0"/>
              <w:left w:val="nil"/>
              <w:bottom w:val="single" w:color="auto" w:sz="4" w:space="0"/>
              <w:right w:val="nil"/>
            </w:tcBorders>
            <w:noWrap/>
            <w:vAlign w:val="center"/>
          </w:tcPr>
          <w:p w14:paraId="564C08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确定生产试验点</w:t>
            </w:r>
          </w:p>
        </w:tc>
        <w:tc>
          <w:tcPr>
            <w:tcW w:w="2534" w:type="dxa"/>
            <w:tcBorders>
              <w:top w:val="single" w:color="auto" w:sz="4" w:space="0"/>
              <w:left w:val="single" w:color="auto" w:sz="4" w:space="0"/>
              <w:bottom w:val="single" w:color="auto" w:sz="4" w:space="0"/>
              <w:right w:val="single" w:color="auto" w:sz="4" w:space="0"/>
            </w:tcBorders>
            <w:noWrap/>
            <w:vAlign w:val="center"/>
          </w:tcPr>
          <w:p w14:paraId="6C8613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2个</w:t>
            </w:r>
          </w:p>
        </w:tc>
      </w:tr>
      <w:tr w14:paraId="1F45E650">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0912D7B"/>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50DD6405"/>
        </w:tc>
        <w:tc>
          <w:tcPr>
            <w:tcW w:w="4555" w:type="dxa"/>
            <w:tcBorders>
              <w:top w:val="single" w:color="auto" w:sz="4" w:space="0"/>
              <w:left w:val="nil"/>
              <w:bottom w:val="single" w:color="auto" w:sz="4" w:space="0"/>
              <w:right w:val="nil"/>
            </w:tcBorders>
            <w:noWrap/>
            <w:vAlign w:val="center"/>
          </w:tcPr>
          <w:p w14:paraId="1A9BAA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确定区域试验点</w:t>
            </w:r>
          </w:p>
        </w:tc>
        <w:tc>
          <w:tcPr>
            <w:tcW w:w="2534" w:type="dxa"/>
            <w:tcBorders>
              <w:top w:val="single" w:color="auto" w:sz="4" w:space="0"/>
              <w:left w:val="single" w:color="auto" w:sz="4" w:space="0"/>
              <w:bottom w:val="single" w:color="auto" w:sz="4" w:space="0"/>
              <w:right w:val="single" w:color="auto" w:sz="4" w:space="0"/>
            </w:tcBorders>
            <w:noWrap/>
            <w:vAlign w:val="center"/>
          </w:tcPr>
          <w:p w14:paraId="515778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3个</w:t>
            </w:r>
          </w:p>
        </w:tc>
      </w:tr>
      <w:tr w14:paraId="6E568D3A">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64FA7C1B"/>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1FB42A4"/>
        </w:tc>
        <w:tc>
          <w:tcPr>
            <w:tcW w:w="4555" w:type="dxa"/>
            <w:tcBorders>
              <w:top w:val="single" w:color="auto" w:sz="4" w:space="0"/>
              <w:left w:val="nil"/>
              <w:bottom w:val="single" w:color="auto" w:sz="4" w:space="0"/>
              <w:right w:val="nil"/>
            </w:tcBorders>
            <w:noWrap/>
            <w:vAlign w:val="center"/>
          </w:tcPr>
          <w:p w14:paraId="73B2C2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制定核桃地方标准</w:t>
            </w:r>
          </w:p>
        </w:tc>
        <w:tc>
          <w:tcPr>
            <w:tcW w:w="2534" w:type="dxa"/>
            <w:tcBorders>
              <w:top w:val="single" w:color="auto" w:sz="4" w:space="0"/>
              <w:left w:val="single" w:color="auto" w:sz="4" w:space="0"/>
              <w:bottom w:val="single" w:color="auto" w:sz="4" w:space="0"/>
              <w:right w:val="single" w:color="auto" w:sz="4" w:space="0"/>
            </w:tcBorders>
            <w:noWrap/>
            <w:vAlign w:val="center"/>
          </w:tcPr>
          <w:p w14:paraId="20AB50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4项</w:t>
            </w:r>
          </w:p>
        </w:tc>
      </w:tr>
      <w:tr w14:paraId="7FC86C34">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431BD78"/>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5C9FD22"/>
        </w:tc>
        <w:tc>
          <w:tcPr>
            <w:tcW w:w="4555" w:type="dxa"/>
            <w:tcBorders>
              <w:top w:val="single" w:color="auto" w:sz="4" w:space="0"/>
              <w:left w:val="nil"/>
              <w:bottom w:val="single" w:color="auto" w:sz="4" w:space="0"/>
              <w:right w:val="nil"/>
            </w:tcBorders>
            <w:noWrap/>
            <w:vAlign w:val="center"/>
          </w:tcPr>
          <w:p w14:paraId="23D9BA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工作总结</w:t>
            </w:r>
          </w:p>
        </w:tc>
        <w:tc>
          <w:tcPr>
            <w:tcW w:w="2534" w:type="dxa"/>
            <w:tcBorders>
              <w:top w:val="single" w:color="auto" w:sz="4" w:space="0"/>
              <w:left w:val="single" w:color="auto" w:sz="4" w:space="0"/>
              <w:bottom w:val="single" w:color="auto" w:sz="4" w:space="0"/>
              <w:right w:val="single" w:color="auto" w:sz="4" w:space="0"/>
            </w:tcBorders>
            <w:noWrap/>
            <w:vAlign w:val="center"/>
          </w:tcPr>
          <w:p w14:paraId="44F205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1篇</w:t>
            </w:r>
          </w:p>
        </w:tc>
      </w:tr>
      <w:tr w14:paraId="12C7703F">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6F880D37"/>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1E212298"/>
        </w:tc>
        <w:tc>
          <w:tcPr>
            <w:tcW w:w="4555" w:type="dxa"/>
            <w:tcBorders>
              <w:top w:val="single" w:color="auto" w:sz="4" w:space="0"/>
              <w:left w:val="nil"/>
              <w:bottom w:val="single" w:color="auto" w:sz="4" w:space="0"/>
              <w:right w:val="nil"/>
            </w:tcBorders>
            <w:noWrap/>
            <w:vAlign w:val="center"/>
          </w:tcPr>
          <w:p w14:paraId="4FFD1A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林地川续断种植技术示范与推广</w:t>
            </w:r>
          </w:p>
        </w:tc>
        <w:tc>
          <w:tcPr>
            <w:tcW w:w="2534" w:type="dxa"/>
            <w:tcBorders>
              <w:top w:val="single" w:color="auto" w:sz="4" w:space="0"/>
              <w:left w:val="single" w:color="auto" w:sz="4" w:space="0"/>
              <w:bottom w:val="single" w:color="auto" w:sz="4" w:space="0"/>
              <w:right w:val="single" w:color="auto" w:sz="4" w:space="0"/>
            </w:tcBorders>
            <w:noWrap/>
            <w:vAlign w:val="center"/>
          </w:tcPr>
          <w:p w14:paraId="78B1E9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30亩</w:t>
            </w:r>
          </w:p>
        </w:tc>
      </w:tr>
      <w:tr w14:paraId="592601F6">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79ECC39E"/>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7FB84A6"/>
        </w:tc>
        <w:tc>
          <w:tcPr>
            <w:tcW w:w="4555" w:type="dxa"/>
            <w:tcBorders>
              <w:top w:val="single" w:color="auto" w:sz="4" w:space="0"/>
              <w:left w:val="nil"/>
              <w:bottom w:val="single" w:color="auto" w:sz="4" w:space="0"/>
              <w:right w:val="nil"/>
            </w:tcBorders>
            <w:noWrap/>
            <w:vAlign w:val="center"/>
          </w:tcPr>
          <w:p w14:paraId="763533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林地花魔芋种植技术示范与推广</w:t>
            </w:r>
          </w:p>
        </w:tc>
        <w:tc>
          <w:tcPr>
            <w:tcW w:w="2534" w:type="dxa"/>
            <w:tcBorders>
              <w:top w:val="single" w:color="auto" w:sz="4" w:space="0"/>
              <w:left w:val="single" w:color="auto" w:sz="4" w:space="0"/>
              <w:bottom w:val="single" w:color="auto" w:sz="4" w:space="0"/>
              <w:right w:val="single" w:color="auto" w:sz="4" w:space="0"/>
            </w:tcBorders>
            <w:noWrap/>
            <w:vAlign w:val="center"/>
          </w:tcPr>
          <w:p w14:paraId="40A91D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10亩</w:t>
            </w:r>
          </w:p>
        </w:tc>
      </w:tr>
      <w:tr w14:paraId="6BA293AC">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86A271F"/>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03D984D0"/>
        </w:tc>
        <w:tc>
          <w:tcPr>
            <w:tcW w:w="4555" w:type="dxa"/>
            <w:tcBorders>
              <w:top w:val="single" w:color="auto" w:sz="4" w:space="0"/>
              <w:left w:val="nil"/>
              <w:bottom w:val="single" w:color="auto" w:sz="4" w:space="0"/>
              <w:right w:val="nil"/>
            </w:tcBorders>
            <w:noWrap/>
            <w:vAlign w:val="center"/>
          </w:tcPr>
          <w:p w14:paraId="7136CC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活血丹资源收集</w:t>
            </w:r>
          </w:p>
        </w:tc>
        <w:tc>
          <w:tcPr>
            <w:tcW w:w="2534" w:type="dxa"/>
            <w:tcBorders>
              <w:top w:val="single" w:color="auto" w:sz="4" w:space="0"/>
              <w:left w:val="single" w:color="auto" w:sz="4" w:space="0"/>
              <w:bottom w:val="single" w:color="auto" w:sz="4" w:space="0"/>
              <w:right w:val="single" w:color="auto" w:sz="4" w:space="0"/>
            </w:tcBorders>
            <w:noWrap/>
            <w:vAlign w:val="center"/>
          </w:tcPr>
          <w:p w14:paraId="51B78D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3个</w:t>
            </w:r>
          </w:p>
        </w:tc>
      </w:tr>
      <w:tr w14:paraId="1C3888A3">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6C937FAC"/>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B1B7A41"/>
        </w:tc>
        <w:tc>
          <w:tcPr>
            <w:tcW w:w="4555" w:type="dxa"/>
            <w:tcBorders>
              <w:top w:val="single" w:color="auto" w:sz="4" w:space="0"/>
              <w:left w:val="nil"/>
              <w:bottom w:val="single" w:color="auto" w:sz="4" w:space="0"/>
              <w:right w:val="nil"/>
            </w:tcBorders>
            <w:noWrap/>
            <w:vAlign w:val="center"/>
          </w:tcPr>
          <w:p w14:paraId="26BFC7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活血丹收集圃建设和野生促繁</w:t>
            </w:r>
          </w:p>
        </w:tc>
        <w:tc>
          <w:tcPr>
            <w:tcW w:w="2534" w:type="dxa"/>
            <w:tcBorders>
              <w:top w:val="single" w:color="auto" w:sz="4" w:space="0"/>
              <w:left w:val="single" w:color="auto" w:sz="4" w:space="0"/>
              <w:bottom w:val="single" w:color="auto" w:sz="4" w:space="0"/>
              <w:right w:val="single" w:color="auto" w:sz="4" w:space="0"/>
            </w:tcBorders>
            <w:noWrap/>
            <w:vAlign w:val="center"/>
          </w:tcPr>
          <w:p w14:paraId="5F1C99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10亩</w:t>
            </w:r>
          </w:p>
        </w:tc>
      </w:tr>
      <w:tr w14:paraId="3A1B0864">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7013F70"/>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2E986DD4"/>
        </w:tc>
        <w:tc>
          <w:tcPr>
            <w:tcW w:w="4555" w:type="dxa"/>
            <w:tcBorders>
              <w:top w:val="single" w:color="auto" w:sz="4" w:space="0"/>
              <w:left w:val="nil"/>
              <w:bottom w:val="single" w:color="auto" w:sz="4" w:space="0"/>
              <w:right w:val="nil"/>
            </w:tcBorders>
            <w:noWrap/>
            <w:vAlign w:val="center"/>
          </w:tcPr>
          <w:p w14:paraId="7C5933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取样、检测异常枯死松树、松木材及其制品</w:t>
            </w:r>
          </w:p>
        </w:tc>
        <w:tc>
          <w:tcPr>
            <w:tcW w:w="2534" w:type="dxa"/>
            <w:tcBorders>
              <w:top w:val="single" w:color="auto" w:sz="4" w:space="0"/>
              <w:left w:val="single" w:color="auto" w:sz="4" w:space="0"/>
              <w:bottom w:val="single" w:color="auto" w:sz="4" w:space="0"/>
              <w:right w:val="single" w:color="auto" w:sz="4" w:space="0"/>
            </w:tcBorders>
            <w:noWrap/>
            <w:vAlign w:val="center"/>
          </w:tcPr>
          <w:p w14:paraId="5F3E4A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80个</w:t>
            </w:r>
          </w:p>
        </w:tc>
      </w:tr>
      <w:tr w14:paraId="3D8F204C">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11C72DEA"/>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4E25743"/>
        </w:tc>
        <w:tc>
          <w:tcPr>
            <w:tcW w:w="4555" w:type="dxa"/>
            <w:tcBorders>
              <w:top w:val="single" w:color="auto" w:sz="4" w:space="0"/>
              <w:left w:val="nil"/>
              <w:bottom w:val="single" w:color="auto" w:sz="4" w:space="0"/>
              <w:right w:val="nil"/>
            </w:tcBorders>
            <w:noWrap/>
            <w:vAlign w:val="center"/>
          </w:tcPr>
          <w:p w14:paraId="659E85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形成松树线虫防控技术</w:t>
            </w:r>
          </w:p>
        </w:tc>
        <w:tc>
          <w:tcPr>
            <w:tcW w:w="2534" w:type="dxa"/>
            <w:tcBorders>
              <w:top w:val="single" w:color="auto" w:sz="4" w:space="0"/>
              <w:left w:val="single" w:color="auto" w:sz="4" w:space="0"/>
              <w:bottom w:val="single" w:color="auto" w:sz="4" w:space="0"/>
              <w:right w:val="single" w:color="auto" w:sz="4" w:space="0"/>
            </w:tcBorders>
            <w:noWrap/>
            <w:vAlign w:val="center"/>
          </w:tcPr>
          <w:p w14:paraId="293352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1套</w:t>
            </w:r>
          </w:p>
        </w:tc>
      </w:tr>
      <w:tr w14:paraId="45F6869C">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F674661"/>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79E156A"/>
        </w:tc>
        <w:tc>
          <w:tcPr>
            <w:tcW w:w="4555" w:type="dxa"/>
            <w:tcBorders>
              <w:top w:val="single" w:color="auto" w:sz="4" w:space="0"/>
              <w:left w:val="nil"/>
              <w:bottom w:val="single" w:color="auto" w:sz="4" w:space="0"/>
              <w:right w:val="nil"/>
            </w:tcBorders>
            <w:noWrap/>
            <w:vAlign w:val="center"/>
          </w:tcPr>
          <w:p w14:paraId="7CF5B2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编写危害云南油杉的1种尺蠖的不同虫态原色图谱资料</w:t>
            </w:r>
          </w:p>
        </w:tc>
        <w:tc>
          <w:tcPr>
            <w:tcW w:w="2534" w:type="dxa"/>
            <w:tcBorders>
              <w:top w:val="single" w:color="auto" w:sz="4" w:space="0"/>
              <w:left w:val="single" w:color="auto" w:sz="4" w:space="0"/>
              <w:bottom w:val="single" w:color="auto" w:sz="4" w:space="0"/>
              <w:right w:val="single" w:color="auto" w:sz="4" w:space="0"/>
            </w:tcBorders>
            <w:noWrap/>
            <w:vAlign w:val="center"/>
          </w:tcPr>
          <w:p w14:paraId="6E0BD7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1套</w:t>
            </w:r>
          </w:p>
        </w:tc>
      </w:tr>
      <w:tr w14:paraId="24915E1D">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D9B9659"/>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EFD5C9E"/>
        </w:tc>
        <w:tc>
          <w:tcPr>
            <w:tcW w:w="4555" w:type="dxa"/>
            <w:tcBorders>
              <w:top w:val="single" w:color="auto" w:sz="4" w:space="0"/>
              <w:left w:val="nil"/>
              <w:bottom w:val="single" w:color="auto" w:sz="4" w:space="0"/>
              <w:right w:val="nil"/>
            </w:tcBorders>
            <w:noWrap/>
            <w:vAlign w:val="center"/>
          </w:tcPr>
          <w:p w14:paraId="291798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筛选出防治云南油杉1种尺蠖效果较好的药剂</w:t>
            </w:r>
          </w:p>
        </w:tc>
        <w:tc>
          <w:tcPr>
            <w:tcW w:w="2534" w:type="dxa"/>
            <w:tcBorders>
              <w:top w:val="single" w:color="auto" w:sz="4" w:space="0"/>
              <w:left w:val="single" w:color="auto" w:sz="4" w:space="0"/>
              <w:bottom w:val="single" w:color="auto" w:sz="4" w:space="0"/>
              <w:right w:val="single" w:color="auto" w:sz="4" w:space="0"/>
            </w:tcBorders>
            <w:noWrap/>
            <w:vAlign w:val="center"/>
          </w:tcPr>
          <w:p w14:paraId="0B9384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2种</w:t>
            </w:r>
          </w:p>
        </w:tc>
      </w:tr>
      <w:tr w14:paraId="1E5588F9">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70CE7C6B"/>
        </w:tc>
        <w:tc>
          <w:tcPr>
            <w:tcW w:w="771" w:type="dxa"/>
            <w:vMerge w:val="restart"/>
            <w:tcBorders>
              <w:top w:val="single" w:color="auto" w:sz="4" w:space="0"/>
              <w:left w:val="single" w:color="auto" w:sz="4" w:space="0"/>
              <w:bottom w:val="single" w:color="auto" w:sz="4" w:space="0"/>
              <w:right w:val="single" w:color="auto" w:sz="4" w:space="0"/>
            </w:tcBorders>
            <w:noWrap/>
            <w:vAlign w:val="center"/>
          </w:tcPr>
          <w:p w14:paraId="64CC8A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质量指标</w:t>
            </w:r>
          </w:p>
        </w:tc>
        <w:tc>
          <w:tcPr>
            <w:tcW w:w="4555" w:type="dxa"/>
            <w:tcBorders>
              <w:top w:val="single" w:color="auto" w:sz="4" w:space="0"/>
              <w:left w:val="nil"/>
              <w:bottom w:val="single" w:color="auto" w:sz="4" w:space="0"/>
              <w:right w:val="nil"/>
            </w:tcBorders>
            <w:noWrap/>
            <w:vAlign w:val="center"/>
          </w:tcPr>
          <w:p w14:paraId="7B5F35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块菌菌根苗感染率</w:t>
            </w:r>
          </w:p>
        </w:tc>
        <w:tc>
          <w:tcPr>
            <w:tcW w:w="2534" w:type="dxa"/>
            <w:tcBorders>
              <w:top w:val="single" w:color="auto" w:sz="4" w:space="0"/>
              <w:left w:val="single" w:color="auto" w:sz="4" w:space="0"/>
              <w:bottom w:val="single" w:color="auto" w:sz="4" w:space="0"/>
              <w:right w:val="single" w:color="auto" w:sz="4" w:space="0"/>
            </w:tcBorders>
            <w:noWrap/>
            <w:vAlign w:val="center"/>
          </w:tcPr>
          <w:p w14:paraId="0D509D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75%</w:t>
            </w:r>
          </w:p>
        </w:tc>
      </w:tr>
      <w:tr w14:paraId="72F38890">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5CA1CE13"/>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82D213C"/>
        </w:tc>
        <w:tc>
          <w:tcPr>
            <w:tcW w:w="4555" w:type="dxa"/>
            <w:tcBorders>
              <w:top w:val="single" w:color="auto" w:sz="4" w:space="0"/>
              <w:left w:val="nil"/>
              <w:bottom w:val="single" w:color="auto" w:sz="4" w:space="0"/>
              <w:right w:val="nil"/>
            </w:tcBorders>
            <w:noWrap/>
            <w:vAlign w:val="center"/>
          </w:tcPr>
          <w:p w14:paraId="482995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块菌栽培成活率</w:t>
            </w:r>
          </w:p>
        </w:tc>
        <w:tc>
          <w:tcPr>
            <w:tcW w:w="2534" w:type="dxa"/>
            <w:tcBorders>
              <w:top w:val="single" w:color="auto" w:sz="4" w:space="0"/>
              <w:left w:val="single" w:color="auto" w:sz="4" w:space="0"/>
              <w:bottom w:val="single" w:color="auto" w:sz="4" w:space="0"/>
              <w:right w:val="single" w:color="auto" w:sz="4" w:space="0"/>
            </w:tcBorders>
            <w:noWrap/>
            <w:vAlign w:val="center"/>
          </w:tcPr>
          <w:p w14:paraId="18D406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90%</w:t>
            </w:r>
          </w:p>
        </w:tc>
      </w:tr>
      <w:tr w14:paraId="34F35B46">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16764B23"/>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C602E8E"/>
        </w:tc>
        <w:tc>
          <w:tcPr>
            <w:tcW w:w="4555" w:type="dxa"/>
            <w:tcBorders>
              <w:top w:val="single" w:color="auto" w:sz="4" w:space="0"/>
              <w:left w:val="nil"/>
              <w:bottom w:val="single" w:color="auto" w:sz="4" w:space="0"/>
              <w:right w:val="nil"/>
            </w:tcBorders>
            <w:noWrap/>
            <w:vAlign w:val="center"/>
          </w:tcPr>
          <w:p w14:paraId="3C1E44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对异常枯死松树、松木及其制品，开展快速检测</w:t>
            </w:r>
          </w:p>
        </w:tc>
        <w:tc>
          <w:tcPr>
            <w:tcW w:w="2534" w:type="dxa"/>
            <w:tcBorders>
              <w:top w:val="single" w:color="auto" w:sz="4" w:space="0"/>
              <w:left w:val="single" w:color="auto" w:sz="4" w:space="0"/>
              <w:bottom w:val="single" w:color="auto" w:sz="4" w:space="0"/>
              <w:right w:val="single" w:color="auto" w:sz="4" w:space="0"/>
            </w:tcBorders>
            <w:noWrap/>
            <w:vAlign w:val="center"/>
          </w:tcPr>
          <w:p w14:paraId="57C0C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明确松树异常枯死的原因</w:t>
            </w:r>
          </w:p>
        </w:tc>
      </w:tr>
      <w:tr w14:paraId="501929AC">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1F8A9091"/>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D21BE61"/>
        </w:tc>
        <w:tc>
          <w:tcPr>
            <w:tcW w:w="4555" w:type="dxa"/>
            <w:tcBorders>
              <w:top w:val="single" w:color="auto" w:sz="4" w:space="0"/>
              <w:left w:val="nil"/>
              <w:bottom w:val="single" w:color="auto" w:sz="4" w:space="0"/>
              <w:right w:val="nil"/>
            </w:tcBorders>
            <w:noWrap/>
            <w:vAlign w:val="center"/>
          </w:tcPr>
          <w:p w14:paraId="34684C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针对线虫导致的松树枯死，开展线虫种类鉴定</w:t>
            </w:r>
          </w:p>
        </w:tc>
        <w:tc>
          <w:tcPr>
            <w:tcW w:w="2534" w:type="dxa"/>
            <w:tcBorders>
              <w:top w:val="single" w:color="auto" w:sz="4" w:space="0"/>
              <w:left w:val="single" w:color="auto" w:sz="4" w:space="0"/>
              <w:bottom w:val="single" w:color="auto" w:sz="4" w:space="0"/>
              <w:right w:val="single" w:color="auto" w:sz="4" w:space="0"/>
            </w:tcBorders>
            <w:noWrap/>
            <w:vAlign w:val="center"/>
          </w:tcPr>
          <w:p w14:paraId="1F17EA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明确线虫种类</w:t>
            </w:r>
          </w:p>
        </w:tc>
      </w:tr>
      <w:tr w14:paraId="4031C178">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7636762"/>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629DF6DA"/>
        </w:tc>
        <w:tc>
          <w:tcPr>
            <w:tcW w:w="4555" w:type="dxa"/>
            <w:tcBorders>
              <w:top w:val="single" w:color="auto" w:sz="4" w:space="0"/>
              <w:left w:val="nil"/>
              <w:bottom w:val="single" w:color="auto" w:sz="4" w:space="0"/>
              <w:right w:val="nil"/>
            </w:tcBorders>
            <w:noWrap/>
            <w:vAlign w:val="center"/>
          </w:tcPr>
          <w:p w14:paraId="696A18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针对危害云南油杉的1种尺蠖进行种类鉴定</w:t>
            </w:r>
          </w:p>
        </w:tc>
        <w:tc>
          <w:tcPr>
            <w:tcW w:w="2534" w:type="dxa"/>
            <w:tcBorders>
              <w:top w:val="single" w:color="auto" w:sz="4" w:space="0"/>
              <w:left w:val="single" w:color="auto" w:sz="4" w:space="0"/>
              <w:bottom w:val="single" w:color="auto" w:sz="4" w:space="0"/>
              <w:right w:val="single" w:color="auto" w:sz="4" w:space="0"/>
            </w:tcBorders>
            <w:noWrap/>
            <w:vAlign w:val="center"/>
          </w:tcPr>
          <w:p w14:paraId="7A846A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明确尺蠖的种类</w:t>
            </w:r>
          </w:p>
        </w:tc>
      </w:tr>
      <w:tr w14:paraId="46F605BD">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E1E3C24"/>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A99A61E"/>
        </w:tc>
        <w:tc>
          <w:tcPr>
            <w:tcW w:w="4555" w:type="dxa"/>
            <w:tcBorders>
              <w:top w:val="single" w:color="auto" w:sz="4" w:space="0"/>
              <w:left w:val="nil"/>
              <w:bottom w:val="single" w:color="auto" w:sz="4" w:space="0"/>
              <w:right w:val="nil"/>
            </w:tcBorders>
            <w:noWrap/>
            <w:vAlign w:val="center"/>
          </w:tcPr>
          <w:p w14:paraId="6CD948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针对危害云南油杉的1种尺蠖，开展生活史研究</w:t>
            </w:r>
          </w:p>
        </w:tc>
        <w:tc>
          <w:tcPr>
            <w:tcW w:w="2534" w:type="dxa"/>
            <w:tcBorders>
              <w:top w:val="single" w:color="auto" w:sz="4" w:space="0"/>
              <w:left w:val="single" w:color="auto" w:sz="4" w:space="0"/>
              <w:bottom w:val="single" w:color="auto" w:sz="4" w:space="0"/>
              <w:right w:val="single" w:color="auto" w:sz="4" w:space="0"/>
            </w:tcBorders>
            <w:noWrap/>
            <w:vAlign w:val="center"/>
          </w:tcPr>
          <w:p w14:paraId="7D3B5C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明确尺蠖的生活史</w:t>
            </w:r>
          </w:p>
        </w:tc>
      </w:tr>
      <w:tr w14:paraId="6B754A9F">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E146968"/>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67E071F9"/>
        </w:tc>
        <w:tc>
          <w:tcPr>
            <w:tcW w:w="4555" w:type="dxa"/>
            <w:tcBorders>
              <w:top w:val="single" w:color="auto" w:sz="4" w:space="0"/>
              <w:left w:val="nil"/>
              <w:bottom w:val="single" w:color="auto" w:sz="4" w:space="0"/>
              <w:right w:val="nil"/>
            </w:tcBorders>
            <w:noWrap/>
            <w:vAlign w:val="center"/>
          </w:tcPr>
          <w:p w14:paraId="715F9E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针对危害云南油杉的1种尺蠖，开展发生规律研究</w:t>
            </w:r>
          </w:p>
        </w:tc>
        <w:tc>
          <w:tcPr>
            <w:tcW w:w="2534" w:type="dxa"/>
            <w:tcBorders>
              <w:top w:val="single" w:color="auto" w:sz="4" w:space="0"/>
              <w:left w:val="single" w:color="auto" w:sz="4" w:space="0"/>
              <w:bottom w:val="single" w:color="auto" w:sz="4" w:space="0"/>
              <w:right w:val="single" w:color="auto" w:sz="4" w:space="0"/>
            </w:tcBorders>
            <w:noWrap/>
            <w:vAlign w:val="center"/>
          </w:tcPr>
          <w:p w14:paraId="509874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摸清尺蠖的发生规律</w:t>
            </w:r>
          </w:p>
        </w:tc>
      </w:tr>
      <w:tr w14:paraId="512048BD">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169156D5"/>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9B05B12"/>
        </w:tc>
        <w:tc>
          <w:tcPr>
            <w:tcW w:w="4555" w:type="dxa"/>
            <w:tcBorders>
              <w:top w:val="single" w:color="auto" w:sz="4" w:space="0"/>
              <w:left w:val="nil"/>
              <w:bottom w:val="single" w:color="auto" w:sz="4" w:space="0"/>
              <w:right w:val="nil"/>
            </w:tcBorders>
            <w:noWrap/>
            <w:vAlign w:val="center"/>
          </w:tcPr>
          <w:p w14:paraId="119CCB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续断药材效益提升</w:t>
            </w:r>
          </w:p>
        </w:tc>
        <w:tc>
          <w:tcPr>
            <w:tcW w:w="2534" w:type="dxa"/>
            <w:tcBorders>
              <w:top w:val="single" w:color="auto" w:sz="4" w:space="0"/>
              <w:left w:val="single" w:color="auto" w:sz="4" w:space="0"/>
              <w:bottom w:val="single" w:color="auto" w:sz="4" w:space="0"/>
              <w:right w:val="single" w:color="auto" w:sz="4" w:space="0"/>
            </w:tcBorders>
            <w:noWrap/>
            <w:vAlign w:val="center"/>
          </w:tcPr>
          <w:p w14:paraId="2AC7EC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w:t>
            </w:r>
          </w:p>
        </w:tc>
      </w:tr>
      <w:tr w14:paraId="3D356B42">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5DBC8DC9"/>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0B44D47"/>
        </w:tc>
        <w:tc>
          <w:tcPr>
            <w:tcW w:w="4555" w:type="dxa"/>
            <w:tcBorders>
              <w:top w:val="single" w:color="auto" w:sz="4" w:space="0"/>
              <w:left w:val="nil"/>
              <w:bottom w:val="single" w:color="auto" w:sz="4" w:space="0"/>
              <w:right w:val="nil"/>
            </w:tcBorders>
            <w:noWrap/>
            <w:vAlign w:val="center"/>
          </w:tcPr>
          <w:p w14:paraId="69E02B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花魔芋球茎效益提升</w:t>
            </w:r>
          </w:p>
        </w:tc>
        <w:tc>
          <w:tcPr>
            <w:tcW w:w="2534" w:type="dxa"/>
            <w:tcBorders>
              <w:top w:val="single" w:color="auto" w:sz="4" w:space="0"/>
              <w:left w:val="single" w:color="auto" w:sz="4" w:space="0"/>
              <w:bottom w:val="single" w:color="auto" w:sz="4" w:space="0"/>
              <w:right w:val="single" w:color="auto" w:sz="4" w:space="0"/>
            </w:tcBorders>
            <w:noWrap/>
            <w:vAlign w:val="center"/>
          </w:tcPr>
          <w:p w14:paraId="2BE696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w:t>
            </w:r>
          </w:p>
        </w:tc>
      </w:tr>
      <w:tr w14:paraId="5385DB66">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B81F238"/>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602916CC"/>
        </w:tc>
        <w:tc>
          <w:tcPr>
            <w:tcW w:w="4555" w:type="dxa"/>
            <w:tcBorders>
              <w:top w:val="single" w:color="auto" w:sz="4" w:space="0"/>
              <w:left w:val="nil"/>
              <w:bottom w:val="single" w:color="auto" w:sz="4" w:space="0"/>
              <w:right w:val="nil"/>
            </w:tcBorders>
            <w:noWrap/>
            <w:vAlign w:val="center"/>
          </w:tcPr>
          <w:p w14:paraId="249F86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活血丹药材应用效益提升</w:t>
            </w:r>
          </w:p>
        </w:tc>
        <w:tc>
          <w:tcPr>
            <w:tcW w:w="2534" w:type="dxa"/>
            <w:tcBorders>
              <w:top w:val="single" w:color="auto" w:sz="4" w:space="0"/>
              <w:left w:val="single" w:color="auto" w:sz="4" w:space="0"/>
              <w:bottom w:val="single" w:color="auto" w:sz="4" w:space="0"/>
              <w:right w:val="single" w:color="auto" w:sz="4" w:space="0"/>
            </w:tcBorders>
            <w:noWrap/>
            <w:vAlign w:val="center"/>
          </w:tcPr>
          <w:p w14:paraId="0795E3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10万元</w:t>
            </w:r>
          </w:p>
        </w:tc>
      </w:tr>
      <w:tr w14:paraId="52FCA31D">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570FAD84"/>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914FBA4"/>
        </w:tc>
        <w:tc>
          <w:tcPr>
            <w:tcW w:w="4555" w:type="dxa"/>
            <w:tcBorders>
              <w:top w:val="single" w:color="auto" w:sz="4" w:space="0"/>
              <w:left w:val="nil"/>
              <w:bottom w:val="single" w:color="auto" w:sz="4" w:space="0"/>
              <w:right w:val="nil"/>
            </w:tcBorders>
            <w:noWrap/>
            <w:vAlign w:val="center"/>
          </w:tcPr>
          <w:p w14:paraId="1086E6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科技服务，林地种植技术人才培训</w:t>
            </w:r>
          </w:p>
        </w:tc>
        <w:tc>
          <w:tcPr>
            <w:tcW w:w="2534" w:type="dxa"/>
            <w:tcBorders>
              <w:top w:val="single" w:color="auto" w:sz="4" w:space="0"/>
              <w:left w:val="single" w:color="auto" w:sz="4" w:space="0"/>
              <w:bottom w:val="single" w:color="auto" w:sz="4" w:space="0"/>
              <w:right w:val="single" w:color="auto" w:sz="4" w:space="0"/>
            </w:tcBorders>
            <w:noWrap/>
            <w:vAlign w:val="center"/>
          </w:tcPr>
          <w:p w14:paraId="487D1A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200人次</w:t>
            </w:r>
          </w:p>
        </w:tc>
      </w:tr>
      <w:tr w14:paraId="4622E333">
        <w:tblPrEx>
          <w:tblCellMar>
            <w:top w:w="0" w:type="dxa"/>
            <w:left w:w="108" w:type="dxa"/>
            <w:bottom w:w="0" w:type="dxa"/>
            <w:right w:w="108" w:type="dxa"/>
          </w:tblCellMar>
        </w:tblPrEx>
        <w:trPr>
          <w:trHeight w:val="2162"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544C0DE6"/>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2F370777"/>
        </w:tc>
        <w:tc>
          <w:tcPr>
            <w:tcW w:w="4555" w:type="dxa"/>
            <w:tcBorders>
              <w:top w:val="single" w:color="auto" w:sz="4" w:space="0"/>
              <w:left w:val="nil"/>
              <w:bottom w:val="single" w:color="auto" w:sz="4" w:space="0"/>
              <w:right w:val="nil"/>
            </w:tcBorders>
            <w:noWrap/>
            <w:vAlign w:val="center"/>
          </w:tcPr>
          <w:p w14:paraId="427BD5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生产试验点和区域试验点管护</w:t>
            </w:r>
          </w:p>
        </w:tc>
        <w:tc>
          <w:tcPr>
            <w:tcW w:w="2534" w:type="dxa"/>
            <w:tcBorders>
              <w:top w:val="single" w:color="auto" w:sz="4" w:space="0"/>
              <w:left w:val="single" w:color="auto" w:sz="4" w:space="0"/>
              <w:bottom w:val="single" w:color="auto" w:sz="4" w:space="0"/>
              <w:right w:val="single" w:color="auto" w:sz="4" w:space="0"/>
            </w:tcBorders>
            <w:vAlign w:val="center"/>
          </w:tcPr>
          <w:p w14:paraId="70FBBB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生产试验点管护面积45亩，区域试验点管护面积45亩，参照林木品种审定规范和中高山地区核桃种植技术，制定实施方案，并严格按照实施方案进行管理。</w:t>
            </w:r>
          </w:p>
        </w:tc>
      </w:tr>
      <w:tr w14:paraId="0C5FC5E4">
        <w:tblPrEx>
          <w:tblCellMar>
            <w:top w:w="0" w:type="dxa"/>
            <w:left w:w="108" w:type="dxa"/>
            <w:bottom w:w="0" w:type="dxa"/>
            <w:right w:w="108" w:type="dxa"/>
          </w:tblCellMar>
        </w:tblPrEx>
        <w:trPr>
          <w:trHeight w:val="1275"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08188300"/>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1CA2D6F4"/>
        </w:tc>
        <w:tc>
          <w:tcPr>
            <w:tcW w:w="4555" w:type="dxa"/>
            <w:tcBorders>
              <w:top w:val="single" w:color="auto" w:sz="4" w:space="0"/>
              <w:left w:val="nil"/>
              <w:bottom w:val="single" w:color="auto" w:sz="4" w:space="0"/>
              <w:right w:val="nil"/>
            </w:tcBorders>
            <w:noWrap/>
            <w:vAlign w:val="center"/>
          </w:tcPr>
          <w:p w14:paraId="218E6B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核桃地方标准的制定</w:t>
            </w:r>
          </w:p>
        </w:tc>
        <w:tc>
          <w:tcPr>
            <w:tcW w:w="2534" w:type="dxa"/>
            <w:tcBorders>
              <w:top w:val="single" w:color="auto" w:sz="4" w:space="0"/>
              <w:left w:val="single" w:color="auto" w:sz="4" w:space="0"/>
              <w:bottom w:val="single" w:color="auto" w:sz="4" w:space="0"/>
              <w:right w:val="single" w:color="auto" w:sz="4" w:space="0"/>
            </w:tcBorders>
            <w:vAlign w:val="center"/>
          </w:tcPr>
          <w:p w14:paraId="11BBA1C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按照GB/T1.1-2020《标准化工作导则 第1部分：标准化文件的结构和起草规则》的规定起草。</w:t>
            </w:r>
          </w:p>
        </w:tc>
      </w:tr>
      <w:tr w14:paraId="5E324D8E">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27E93065"/>
        </w:tc>
        <w:tc>
          <w:tcPr>
            <w:tcW w:w="771" w:type="dxa"/>
            <w:tcBorders>
              <w:top w:val="single" w:color="auto" w:sz="4" w:space="0"/>
              <w:left w:val="nil"/>
              <w:bottom w:val="single" w:color="auto" w:sz="4" w:space="0"/>
              <w:right w:val="single" w:color="auto" w:sz="4" w:space="0"/>
            </w:tcBorders>
            <w:noWrap/>
            <w:vAlign w:val="center"/>
          </w:tcPr>
          <w:p w14:paraId="56680A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时效指标</w:t>
            </w:r>
          </w:p>
        </w:tc>
        <w:tc>
          <w:tcPr>
            <w:tcW w:w="4555" w:type="dxa"/>
            <w:tcBorders>
              <w:top w:val="single" w:color="auto" w:sz="4" w:space="0"/>
              <w:left w:val="nil"/>
              <w:bottom w:val="single" w:color="auto" w:sz="4" w:space="0"/>
              <w:right w:val="nil"/>
            </w:tcBorders>
            <w:noWrap/>
            <w:vAlign w:val="center"/>
          </w:tcPr>
          <w:p w14:paraId="394869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项目完成时间</w:t>
            </w:r>
          </w:p>
        </w:tc>
        <w:tc>
          <w:tcPr>
            <w:tcW w:w="2534" w:type="dxa"/>
            <w:tcBorders>
              <w:top w:val="single" w:color="auto" w:sz="4" w:space="0"/>
              <w:left w:val="single" w:color="auto" w:sz="4" w:space="0"/>
              <w:bottom w:val="single" w:color="auto" w:sz="4" w:space="0"/>
              <w:right w:val="single" w:color="auto" w:sz="4" w:space="0"/>
            </w:tcBorders>
            <w:noWrap/>
            <w:vAlign w:val="center"/>
          </w:tcPr>
          <w:p w14:paraId="1A571F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1年</w:t>
            </w:r>
          </w:p>
        </w:tc>
      </w:tr>
      <w:tr w14:paraId="43267E4C">
        <w:tblPrEx>
          <w:tblCellMar>
            <w:top w:w="0" w:type="dxa"/>
            <w:left w:w="108" w:type="dxa"/>
            <w:bottom w:w="0" w:type="dxa"/>
            <w:right w:w="108" w:type="dxa"/>
          </w:tblCellMar>
        </w:tblPrEx>
        <w:trPr>
          <w:trHeight w:val="276" w:hRule="atLeast"/>
        </w:trPr>
        <w:tc>
          <w:tcPr>
            <w:tcW w:w="770" w:type="dxa"/>
            <w:vMerge w:val="restart"/>
            <w:tcBorders>
              <w:top w:val="single" w:color="auto" w:sz="4" w:space="0"/>
              <w:left w:val="single" w:color="auto" w:sz="4" w:space="0"/>
              <w:bottom w:val="single" w:color="auto" w:sz="4" w:space="0"/>
              <w:right w:val="single" w:color="auto" w:sz="4" w:space="0"/>
            </w:tcBorders>
            <w:noWrap/>
            <w:vAlign w:val="center"/>
          </w:tcPr>
          <w:p w14:paraId="2AD661F4">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效益指标</w:t>
            </w:r>
          </w:p>
        </w:tc>
        <w:tc>
          <w:tcPr>
            <w:tcW w:w="771" w:type="dxa"/>
            <w:vMerge w:val="restart"/>
            <w:tcBorders>
              <w:top w:val="single" w:color="auto" w:sz="4" w:space="0"/>
              <w:left w:val="single" w:color="auto" w:sz="4" w:space="0"/>
              <w:bottom w:val="single" w:color="auto" w:sz="4" w:space="0"/>
              <w:right w:val="single" w:color="auto" w:sz="4" w:space="0"/>
            </w:tcBorders>
            <w:vAlign w:val="center"/>
          </w:tcPr>
          <w:p w14:paraId="73CCEEEA">
            <w:pPr>
              <w:widowControl/>
              <w:jc w:val="center"/>
              <w:rPr>
                <w:rFonts w:ascii="宋体" w:hAnsi="宋体" w:cs="宋体"/>
                <w:kern w:val="0"/>
                <w:sz w:val="20"/>
                <w:szCs w:val="20"/>
              </w:rPr>
            </w:pPr>
            <w:r>
              <w:rPr>
                <w:rFonts w:hint="eastAsia" w:ascii="宋体" w:hAnsi="宋体" w:cs="宋体"/>
                <w:kern w:val="0"/>
                <w:sz w:val="20"/>
                <w:szCs w:val="20"/>
              </w:rPr>
              <w:t>社会效益指标</w:t>
            </w:r>
          </w:p>
        </w:tc>
        <w:tc>
          <w:tcPr>
            <w:tcW w:w="4555" w:type="dxa"/>
            <w:tcBorders>
              <w:top w:val="single" w:color="auto" w:sz="4" w:space="0"/>
              <w:left w:val="nil"/>
              <w:bottom w:val="single" w:color="auto" w:sz="4" w:space="0"/>
              <w:right w:val="nil"/>
            </w:tcBorders>
            <w:noWrap/>
            <w:vAlign w:val="center"/>
          </w:tcPr>
          <w:p w14:paraId="5B2873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种植技能提升</w:t>
            </w:r>
          </w:p>
        </w:tc>
        <w:tc>
          <w:tcPr>
            <w:tcW w:w="2534" w:type="dxa"/>
            <w:tcBorders>
              <w:top w:val="single" w:color="auto" w:sz="4" w:space="0"/>
              <w:left w:val="single" w:color="auto" w:sz="4" w:space="0"/>
              <w:bottom w:val="single" w:color="auto" w:sz="4" w:space="0"/>
              <w:right w:val="single" w:color="auto" w:sz="4" w:space="0"/>
            </w:tcBorders>
            <w:noWrap/>
            <w:vAlign w:val="center"/>
          </w:tcPr>
          <w:p w14:paraId="2E9B5D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85%</w:t>
            </w:r>
          </w:p>
        </w:tc>
      </w:tr>
      <w:tr w14:paraId="4033B928">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70F1E52"/>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DA95162"/>
        </w:tc>
        <w:tc>
          <w:tcPr>
            <w:tcW w:w="4555" w:type="dxa"/>
            <w:tcBorders>
              <w:top w:val="single" w:color="auto" w:sz="4" w:space="0"/>
              <w:left w:val="nil"/>
              <w:bottom w:val="single" w:color="auto" w:sz="4" w:space="0"/>
              <w:right w:val="nil"/>
            </w:tcBorders>
            <w:noWrap/>
            <w:vAlign w:val="center"/>
          </w:tcPr>
          <w:p w14:paraId="06CB0E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保护林业的发展</w:t>
            </w:r>
          </w:p>
        </w:tc>
        <w:tc>
          <w:tcPr>
            <w:tcW w:w="2534" w:type="dxa"/>
            <w:tcBorders>
              <w:top w:val="single" w:color="auto" w:sz="4" w:space="0"/>
              <w:left w:val="single" w:color="auto" w:sz="4" w:space="0"/>
              <w:bottom w:val="single" w:color="auto" w:sz="4" w:space="0"/>
              <w:right w:val="single" w:color="auto" w:sz="4" w:space="0"/>
            </w:tcBorders>
            <w:noWrap/>
            <w:vAlign w:val="center"/>
          </w:tcPr>
          <w:p w14:paraId="3212BA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保护林业的健康发展，为宜居城市建设助力</w:t>
            </w:r>
          </w:p>
        </w:tc>
      </w:tr>
      <w:tr w14:paraId="2F13AA7D">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65C7950E"/>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34D048FB"/>
        </w:tc>
        <w:tc>
          <w:tcPr>
            <w:tcW w:w="4555" w:type="dxa"/>
            <w:tcBorders>
              <w:top w:val="single" w:color="auto" w:sz="4" w:space="0"/>
              <w:left w:val="nil"/>
              <w:bottom w:val="single" w:color="auto" w:sz="4" w:space="0"/>
              <w:right w:val="nil"/>
            </w:tcBorders>
            <w:noWrap/>
            <w:vAlign w:val="center"/>
          </w:tcPr>
          <w:p w14:paraId="7024DF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培养人才</w:t>
            </w:r>
          </w:p>
        </w:tc>
        <w:tc>
          <w:tcPr>
            <w:tcW w:w="2534" w:type="dxa"/>
            <w:tcBorders>
              <w:top w:val="single" w:color="auto" w:sz="4" w:space="0"/>
              <w:left w:val="single" w:color="auto" w:sz="4" w:space="0"/>
              <w:bottom w:val="single" w:color="auto" w:sz="4" w:space="0"/>
              <w:right w:val="single" w:color="auto" w:sz="4" w:space="0"/>
            </w:tcBorders>
            <w:noWrap/>
            <w:vAlign w:val="center"/>
          </w:tcPr>
          <w:p w14:paraId="1D7CD2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培养出林业主要有害生物防控技术研究水平高的人才队伍</w:t>
            </w:r>
          </w:p>
        </w:tc>
      </w:tr>
      <w:tr w14:paraId="1930BEF3">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CD19FFF"/>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6FBF58E7"/>
        </w:tc>
        <w:tc>
          <w:tcPr>
            <w:tcW w:w="4555" w:type="dxa"/>
            <w:tcBorders>
              <w:top w:val="single" w:color="auto" w:sz="4" w:space="0"/>
              <w:left w:val="nil"/>
              <w:bottom w:val="single" w:color="auto" w:sz="4" w:space="0"/>
              <w:right w:val="nil"/>
            </w:tcBorders>
            <w:noWrap/>
            <w:vAlign w:val="center"/>
          </w:tcPr>
          <w:p w14:paraId="6E72D4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恢复种植信心</w:t>
            </w:r>
          </w:p>
        </w:tc>
        <w:tc>
          <w:tcPr>
            <w:tcW w:w="2534" w:type="dxa"/>
            <w:tcBorders>
              <w:top w:val="single" w:color="auto" w:sz="4" w:space="0"/>
              <w:left w:val="single" w:color="auto" w:sz="4" w:space="0"/>
              <w:bottom w:val="single" w:color="auto" w:sz="4" w:space="0"/>
              <w:right w:val="single" w:color="auto" w:sz="4" w:space="0"/>
            </w:tcBorders>
            <w:noWrap/>
            <w:vAlign w:val="center"/>
          </w:tcPr>
          <w:p w14:paraId="259FAB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恢复农户种植信心</w:t>
            </w:r>
          </w:p>
        </w:tc>
      </w:tr>
      <w:tr w14:paraId="4EBB9C58">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73CB9112"/>
        </w:tc>
        <w:tc>
          <w:tcPr>
            <w:tcW w:w="771" w:type="dxa"/>
            <w:vMerge w:val="restart"/>
            <w:tcBorders>
              <w:top w:val="single" w:color="auto" w:sz="4" w:space="0"/>
              <w:left w:val="single" w:color="auto" w:sz="4" w:space="0"/>
              <w:bottom w:val="single" w:color="auto" w:sz="4" w:space="0"/>
              <w:right w:val="single" w:color="auto" w:sz="4" w:space="0"/>
            </w:tcBorders>
            <w:vAlign w:val="center"/>
          </w:tcPr>
          <w:p w14:paraId="00CB119B">
            <w:pPr>
              <w:widowControl/>
              <w:jc w:val="center"/>
              <w:rPr>
                <w:rFonts w:ascii="宋体" w:hAnsi="宋体" w:cs="宋体"/>
                <w:kern w:val="0"/>
                <w:sz w:val="20"/>
                <w:szCs w:val="20"/>
              </w:rPr>
            </w:pPr>
            <w:r>
              <w:rPr>
                <w:rFonts w:hint="eastAsia" w:ascii="宋体" w:hAnsi="宋体" w:cs="宋体"/>
                <w:kern w:val="0"/>
                <w:sz w:val="20"/>
                <w:szCs w:val="20"/>
              </w:rPr>
              <w:t>经济效益指标</w:t>
            </w:r>
          </w:p>
        </w:tc>
        <w:tc>
          <w:tcPr>
            <w:tcW w:w="4555" w:type="dxa"/>
            <w:tcBorders>
              <w:top w:val="single" w:color="auto" w:sz="4" w:space="0"/>
              <w:left w:val="nil"/>
              <w:bottom w:val="single" w:color="auto" w:sz="4" w:space="0"/>
              <w:right w:val="nil"/>
            </w:tcBorders>
            <w:noWrap/>
            <w:vAlign w:val="center"/>
          </w:tcPr>
          <w:p w14:paraId="1E2CC8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促进核桃产业发展</w:t>
            </w:r>
          </w:p>
        </w:tc>
        <w:tc>
          <w:tcPr>
            <w:tcW w:w="2534" w:type="dxa"/>
            <w:tcBorders>
              <w:top w:val="single" w:color="auto" w:sz="4" w:space="0"/>
              <w:left w:val="single" w:color="auto" w:sz="4" w:space="0"/>
              <w:bottom w:val="single" w:color="auto" w:sz="4" w:space="0"/>
              <w:right w:val="single" w:color="auto" w:sz="4" w:space="0"/>
            </w:tcBorders>
            <w:noWrap/>
            <w:vAlign w:val="center"/>
          </w:tcPr>
          <w:p w14:paraId="74A7E5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促进核桃产业发展</w:t>
            </w:r>
          </w:p>
        </w:tc>
      </w:tr>
      <w:tr w14:paraId="5789130A">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FF9F4BD"/>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7CBAD60E"/>
        </w:tc>
        <w:tc>
          <w:tcPr>
            <w:tcW w:w="4555" w:type="dxa"/>
            <w:tcBorders>
              <w:top w:val="single" w:color="auto" w:sz="4" w:space="0"/>
              <w:left w:val="nil"/>
              <w:bottom w:val="single" w:color="auto" w:sz="4" w:space="0"/>
              <w:right w:val="nil"/>
            </w:tcBorders>
            <w:noWrap/>
            <w:vAlign w:val="center"/>
          </w:tcPr>
          <w:p w14:paraId="767448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保护松树及云南油杉</w:t>
            </w:r>
          </w:p>
        </w:tc>
        <w:tc>
          <w:tcPr>
            <w:tcW w:w="2534" w:type="dxa"/>
            <w:tcBorders>
              <w:top w:val="single" w:color="auto" w:sz="4" w:space="0"/>
              <w:left w:val="single" w:color="auto" w:sz="4" w:space="0"/>
              <w:bottom w:val="single" w:color="auto" w:sz="4" w:space="0"/>
              <w:right w:val="single" w:color="auto" w:sz="4" w:space="0"/>
            </w:tcBorders>
            <w:noWrap/>
            <w:vAlign w:val="center"/>
          </w:tcPr>
          <w:p w14:paraId="183282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保护林业健康持续发展</w:t>
            </w:r>
          </w:p>
        </w:tc>
      </w:tr>
      <w:tr w14:paraId="526FC229">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040A4D6"/>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6E0A27AD"/>
        </w:tc>
        <w:tc>
          <w:tcPr>
            <w:tcW w:w="4555" w:type="dxa"/>
            <w:tcBorders>
              <w:top w:val="single" w:color="auto" w:sz="4" w:space="0"/>
              <w:left w:val="nil"/>
              <w:bottom w:val="single" w:color="auto" w:sz="4" w:space="0"/>
              <w:right w:val="nil"/>
            </w:tcBorders>
            <w:noWrap/>
            <w:vAlign w:val="center"/>
          </w:tcPr>
          <w:p w14:paraId="1662F0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块菌和坚果产出</w:t>
            </w:r>
          </w:p>
        </w:tc>
        <w:tc>
          <w:tcPr>
            <w:tcW w:w="2534" w:type="dxa"/>
            <w:tcBorders>
              <w:top w:val="single" w:color="auto" w:sz="4" w:space="0"/>
              <w:left w:val="single" w:color="auto" w:sz="4" w:space="0"/>
              <w:bottom w:val="single" w:color="auto" w:sz="4" w:space="0"/>
              <w:right w:val="single" w:color="auto" w:sz="4" w:space="0"/>
            </w:tcBorders>
            <w:noWrap/>
            <w:vAlign w:val="center"/>
          </w:tcPr>
          <w:p w14:paraId="1E759A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基地建成达产后，树上树下均产出，亩产1万元以上</w:t>
            </w:r>
          </w:p>
        </w:tc>
      </w:tr>
      <w:tr w14:paraId="499147D9">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47AA9F63"/>
        </w:tc>
        <w:tc>
          <w:tcPr>
            <w:tcW w:w="771" w:type="dxa"/>
            <w:vMerge w:val="restart"/>
            <w:tcBorders>
              <w:top w:val="single" w:color="auto" w:sz="4" w:space="0"/>
              <w:left w:val="single" w:color="auto" w:sz="4" w:space="0"/>
              <w:bottom w:val="single" w:color="auto" w:sz="4" w:space="0"/>
              <w:right w:val="single" w:color="auto" w:sz="4" w:space="0"/>
            </w:tcBorders>
            <w:vAlign w:val="center"/>
          </w:tcPr>
          <w:p w14:paraId="5E77557F">
            <w:pPr>
              <w:widowControl/>
              <w:jc w:val="center"/>
              <w:rPr>
                <w:rFonts w:ascii="宋体" w:hAnsi="宋体" w:cs="宋体"/>
                <w:kern w:val="0"/>
                <w:sz w:val="20"/>
                <w:szCs w:val="20"/>
              </w:rPr>
            </w:pPr>
            <w:r>
              <w:rPr>
                <w:rFonts w:hint="eastAsia" w:ascii="宋体" w:hAnsi="宋体" w:cs="宋体"/>
                <w:kern w:val="0"/>
                <w:sz w:val="20"/>
                <w:szCs w:val="20"/>
              </w:rPr>
              <w:t>生态效益指标</w:t>
            </w:r>
          </w:p>
        </w:tc>
        <w:tc>
          <w:tcPr>
            <w:tcW w:w="4555" w:type="dxa"/>
            <w:tcBorders>
              <w:top w:val="single" w:color="auto" w:sz="4" w:space="0"/>
              <w:left w:val="nil"/>
              <w:bottom w:val="single" w:color="auto" w:sz="4" w:space="0"/>
              <w:right w:val="nil"/>
            </w:tcBorders>
            <w:noWrap/>
            <w:vAlign w:val="center"/>
          </w:tcPr>
          <w:p w14:paraId="0A2B9C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保护生态环境</w:t>
            </w:r>
          </w:p>
        </w:tc>
        <w:tc>
          <w:tcPr>
            <w:tcW w:w="2534" w:type="dxa"/>
            <w:tcBorders>
              <w:top w:val="single" w:color="auto" w:sz="4" w:space="0"/>
              <w:left w:val="single" w:color="auto" w:sz="4" w:space="0"/>
              <w:bottom w:val="single" w:color="auto" w:sz="4" w:space="0"/>
              <w:right w:val="single" w:color="auto" w:sz="4" w:space="0"/>
            </w:tcBorders>
            <w:noWrap/>
            <w:vAlign w:val="center"/>
          </w:tcPr>
          <w:p w14:paraId="286D3B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促进生态功能区建设</w:t>
            </w:r>
          </w:p>
        </w:tc>
      </w:tr>
      <w:tr w14:paraId="6B712041">
        <w:tblPrEx>
          <w:tblCellMar>
            <w:top w:w="0" w:type="dxa"/>
            <w:left w:w="108" w:type="dxa"/>
            <w:bottom w:w="0" w:type="dxa"/>
            <w:right w:w="108" w:type="dxa"/>
          </w:tblCellMar>
        </w:tblPrEx>
        <w:trPr>
          <w:trHeight w:val="276"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3A58C52C"/>
        </w:tc>
        <w:tc>
          <w:tcPr>
            <w:tcW w:w="771" w:type="dxa"/>
            <w:vMerge w:val="continue"/>
            <w:tcBorders>
              <w:top w:val="single" w:color="auto" w:sz="4" w:space="0"/>
              <w:left w:val="single" w:color="auto" w:sz="4" w:space="0"/>
              <w:bottom w:val="single" w:color="auto" w:sz="4" w:space="0"/>
              <w:right w:val="single" w:color="auto" w:sz="4" w:space="0"/>
            </w:tcBorders>
            <w:vAlign w:val="center"/>
          </w:tcPr>
          <w:p w14:paraId="410E7B43"/>
        </w:tc>
        <w:tc>
          <w:tcPr>
            <w:tcW w:w="4555" w:type="dxa"/>
            <w:tcBorders>
              <w:top w:val="single" w:color="auto" w:sz="4" w:space="0"/>
              <w:left w:val="nil"/>
              <w:bottom w:val="single" w:color="auto" w:sz="4" w:space="0"/>
              <w:right w:val="nil"/>
            </w:tcBorders>
            <w:noWrap/>
            <w:vAlign w:val="center"/>
          </w:tcPr>
          <w:p w14:paraId="02FB4C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块菌苗栽培</w:t>
            </w:r>
          </w:p>
        </w:tc>
        <w:tc>
          <w:tcPr>
            <w:tcW w:w="2534" w:type="dxa"/>
            <w:tcBorders>
              <w:top w:val="single" w:color="auto" w:sz="4" w:space="0"/>
              <w:left w:val="single" w:color="auto" w:sz="4" w:space="0"/>
              <w:bottom w:val="single" w:color="auto" w:sz="4" w:space="0"/>
              <w:right w:val="single" w:color="auto" w:sz="4" w:space="0"/>
            </w:tcBorders>
            <w:noWrap/>
            <w:vAlign w:val="center"/>
          </w:tcPr>
          <w:p w14:paraId="107C30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提高森林覆盖率，改善生态环境</w:t>
            </w:r>
          </w:p>
        </w:tc>
      </w:tr>
      <w:tr w14:paraId="58DEDE17">
        <w:tblPrEx>
          <w:tblCellMar>
            <w:top w:w="0" w:type="dxa"/>
            <w:left w:w="108" w:type="dxa"/>
            <w:bottom w:w="0" w:type="dxa"/>
            <w:right w:w="108" w:type="dxa"/>
          </w:tblCellMar>
        </w:tblPrEx>
        <w:trPr>
          <w:trHeight w:val="480" w:hRule="atLeast"/>
        </w:trPr>
        <w:tc>
          <w:tcPr>
            <w:tcW w:w="770" w:type="dxa"/>
            <w:vMerge w:val="continue"/>
            <w:tcBorders>
              <w:top w:val="single" w:color="auto" w:sz="4" w:space="0"/>
              <w:left w:val="single" w:color="auto" w:sz="4" w:space="0"/>
              <w:bottom w:val="single" w:color="auto" w:sz="4" w:space="0"/>
              <w:right w:val="single" w:color="auto" w:sz="4" w:space="0"/>
            </w:tcBorders>
            <w:vAlign w:val="center"/>
          </w:tcPr>
          <w:p w14:paraId="1830DACD"/>
        </w:tc>
        <w:tc>
          <w:tcPr>
            <w:tcW w:w="771" w:type="dxa"/>
            <w:tcBorders>
              <w:top w:val="single" w:color="auto" w:sz="4" w:space="0"/>
              <w:left w:val="nil"/>
              <w:bottom w:val="single" w:color="auto" w:sz="4" w:space="0"/>
              <w:right w:val="single" w:color="auto" w:sz="4" w:space="0"/>
            </w:tcBorders>
            <w:vAlign w:val="center"/>
          </w:tcPr>
          <w:p w14:paraId="2040E4A1">
            <w:pPr>
              <w:widowControl/>
              <w:jc w:val="center"/>
              <w:rPr>
                <w:rFonts w:ascii="宋体" w:hAnsi="宋体" w:cs="宋体"/>
                <w:kern w:val="0"/>
                <w:sz w:val="20"/>
                <w:szCs w:val="20"/>
              </w:rPr>
            </w:pPr>
            <w:r>
              <w:rPr>
                <w:rFonts w:hint="eastAsia" w:ascii="宋体" w:hAnsi="宋体" w:cs="宋体"/>
                <w:kern w:val="0"/>
                <w:sz w:val="20"/>
                <w:szCs w:val="20"/>
              </w:rPr>
              <w:t>可持续影响指标</w:t>
            </w:r>
          </w:p>
        </w:tc>
        <w:tc>
          <w:tcPr>
            <w:tcW w:w="4555" w:type="dxa"/>
            <w:tcBorders>
              <w:top w:val="single" w:color="auto" w:sz="4" w:space="0"/>
              <w:left w:val="nil"/>
              <w:bottom w:val="single" w:color="auto" w:sz="4" w:space="0"/>
              <w:right w:val="nil"/>
            </w:tcBorders>
            <w:noWrap/>
            <w:vAlign w:val="center"/>
          </w:tcPr>
          <w:p w14:paraId="5C01E2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可持续性</w:t>
            </w:r>
          </w:p>
        </w:tc>
        <w:tc>
          <w:tcPr>
            <w:tcW w:w="2534" w:type="dxa"/>
            <w:tcBorders>
              <w:top w:val="single" w:color="auto" w:sz="4" w:space="0"/>
              <w:left w:val="single" w:color="auto" w:sz="4" w:space="0"/>
              <w:bottom w:val="single" w:color="auto" w:sz="4" w:space="0"/>
              <w:right w:val="single" w:color="auto" w:sz="4" w:space="0"/>
            </w:tcBorders>
            <w:noWrap/>
            <w:vAlign w:val="center"/>
          </w:tcPr>
          <w:p w14:paraId="745321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95%</w:t>
            </w:r>
          </w:p>
        </w:tc>
      </w:tr>
      <w:tr w14:paraId="4B94ABFB">
        <w:tblPrEx>
          <w:tblCellMar>
            <w:top w:w="0" w:type="dxa"/>
            <w:left w:w="108" w:type="dxa"/>
            <w:bottom w:w="0" w:type="dxa"/>
            <w:right w:w="108" w:type="dxa"/>
          </w:tblCellMar>
        </w:tblPrEx>
        <w:trPr>
          <w:trHeight w:val="276" w:hRule="atLeast"/>
        </w:trPr>
        <w:tc>
          <w:tcPr>
            <w:tcW w:w="770" w:type="dxa"/>
            <w:tcBorders>
              <w:top w:val="single" w:color="auto" w:sz="4" w:space="0"/>
              <w:left w:val="single" w:color="auto" w:sz="4" w:space="0"/>
              <w:bottom w:val="single" w:color="auto" w:sz="4" w:space="0"/>
              <w:right w:val="single" w:color="auto" w:sz="4" w:space="0"/>
            </w:tcBorders>
            <w:noWrap/>
            <w:vAlign w:val="center"/>
          </w:tcPr>
          <w:p w14:paraId="0AB6CF3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满意度指标</w:t>
            </w:r>
          </w:p>
        </w:tc>
        <w:tc>
          <w:tcPr>
            <w:tcW w:w="771" w:type="dxa"/>
            <w:tcBorders>
              <w:top w:val="single" w:color="auto" w:sz="4" w:space="0"/>
              <w:left w:val="nil"/>
              <w:bottom w:val="single" w:color="auto" w:sz="4" w:space="0"/>
              <w:right w:val="single" w:color="auto" w:sz="4" w:space="0"/>
            </w:tcBorders>
            <w:noWrap/>
            <w:vAlign w:val="center"/>
          </w:tcPr>
          <w:p w14:paraId="202354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满意度指标</w:t>
            </w:r>
          </w:p>
        </w:tc>
        <w:tc>
          <w:tcPr>
            <w:tcW w:w="4555" w:type="dxa"/>
            <w:tcBorders>
              <w:top w:val="single" w:color="auto" w:sz="4" w:space="0"/>
              <w:left w:val="nil"/>
              <w:bottom w:val="single" w:color="auto" w:sz="4" w:space="0"/>
              <w:right w:val="single" w:color="auto" w:sz="4" w:space="0"/>
            </w:tcBorders>
            <w:noWrap/>
            <w:vAlign w:val="center"/>
          </w:tcPr>
          <w:p w14:paraId="539AF0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农户满意度</w:t>
            </w:r>
          </w:p>
        </w:tc>
        <w:tc>
          <w:tcPr>
            <w:tcW w:w="2534" w:type="dxa"/>
            <w:tcBorders>
              <w:top w:val="single" w:color="auto" w:sz="4" w:space="0"/>
              <w:left w:val="nil"/>
              <w:bottom w:val="single" w:color="auto" w:sz="4" w:space="0"/>
              <w:right w:val="single" w:color="auto" w:sz="4" w:space="0"/>
            </w:tcBorders>
            <w:noWrap/>
            <w:vAlign w:val="center"/>
          </w:tcPr>
          <w:p w14:paraId="322CE5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95%</w:t>
            </w:r>
          </w:p>
        </w:tc>
      </w:tr>
      <w:tr w14:paraId="1241E96E">
        <w:tblPrEx>
          <w:tblCellMar>
            <w:top w:w="0" w:type="dxa"/>
            <w:left w:w="108" w:type="dxa"/>
            <w:bottom w:w="0" w:type="dxa"/>
            <w:right w:w="108" w:type="dxa"/>
          </w:tblCellMar>
        </w:tblPrEx>
        <w:trPr>
          <w:trHeight w:val="276" w:hRule="atLeast"/>
        </w:trPr>
        <w:tc>
          <w:tcPr>
            <w:tcW w:w="1541" w:type="dxa"/>
            <w:gridSpan w:val="2"/>
            <w:vMerge w:val="restart"/>
            <w:tcBorders>
              <w:top w:val="single" w:color="auto" w:sz="4" w:space="0"/>
              <w:left w:val="single" w:color="auto" w:sz="4" w:space="0"/>
              <w:bottom w:val="single" w:color="auto" w:sz="4" w:space="0"/>
              <w:right w:val="single" w:color="auto" w:sz="4" w:space="0"/>
            </w:tcBorders>
            <w:vAlign w:val="center"/>
          </w:tcPr>
          <w:p w14:paraId="334B0948">
            <w:pPr>
              <w:widowControl/>
              <w:jc w:val="center"/>
              <w:rPr>
                <w:rFonts w:ascii="宋体" w:hAnsi="宋体" w:cs="宋体"/>
                <w:kern w:val="0"/>
                <w:sz w:val="20"/>
                <w:szCs w:val="20"/>
              </w:rPr>
            </w:pPr>
            <w:r>
              <w:rPr>
                <w:rFonts w:hint="eastAsia" w:ascii="宋体" w:hAnsi="宋体" w:cs="宋体"/>
                <w:kern w:val="0"/>
                <w:sz w:val="20"/>
                <w:szCs w:val="20"/>
              </w:rPr>
              <w:t>成本指标</w:t>
            </w:r>
          </w:p>
        </w:tc>
        <w:tc>
          <w:tcPr>
            <w:tcW w:w="4555" w:type="dxa"/>
            <w:tcBorders>
              <w:top w:val="single" w:color="auto" w:sz="4" w:space="0"/>
              <w:left w:val="single" w:color="auto" w:sz="4" w:space="0"/>
              <w:bottom w:val="single" w:color="auto" w:sz="4" w:space="0"/>
              <w:right w:val="single" w:color="auto" w:sz="4" w:space="0"/>
            </w:tcBorders>
            <w:noWrap/>
            <w:vAlign w:val="center"/>
          </w:tcPr>
          <w:p w14:paraId="71F45F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块菌生态培育技术集成与示范</w:t>
            </w:r>
          </w:p>
        </w:tc>
        <w:tc>
          <w:tcPr>
            <w:tcW w:w="2534" w:type="dxa"/>
            <w:tcBorders>
              <w:top w:val="single" w:color="auto" w:sz="4" w:space="0"/>
              <w:left w:val="single" w:color="auto" w:sz="4" w:space="0"/>
              <w:bottom w:val="single" w:color="auto" w:sz="4" w:space="0"/>
              <w:right w:val="single" w:color="auto" w:sz="4" w:space="0"/>
            </w:tcBorders>
            <w:noWrap/>
            <w:vAlign w:val="center"/>
          </w:tcPr>
          <w:p w14:paraId="45F885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30万元</w:t>
            </w:r>
          </w:p>
        </w:tc>
      </w:tr>
      <w:tr w14:paraId="28F1175A">
        <w:tblPrEx>
          <w:tblCellMar>
            <w:top w:w="0" w:type="dxa"/>
            <w:left w:w="108" w:type="dxa"/>
            <w:bottom w:w="0" w:type="dxa"/>
            <w:right w:w="108" w:type="dxa"/>
          </w:tblCellMar>
        </w:tblPrEx>
        <w:trPr>
          <w:trHeight w:val="276" w:hRule="atLeast"/>
        </w:trPr>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7F1218B5"/>
        </w:tc>
        <w:tc>
          <w:tcPr>
            <w:tcW w:w="4555" w:type="dxa"/>
            <w:tcBorders>
              <w:top w:val="single" w:color="auto" w:sz="4" w:space="0"/>
              <w:left w:val="single" w:color="auto" w:sz="4" w:space="0"/>
              <w:bottom w:val="single" w:color="auto" w:sz="4" w:space="0"/>
              <w:right w:val="single" w:color="auto" w:sz="4" w:space="0"/>
            </w:tcBorders>
            <w:noWrap/>
            <w:vAlign w:val="center"/>
          </w:tcPr>
          <w:p w14:paraId="6E6776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中高山地区林地综合效益提升示范</w:t>
            </w:r>
          </w:p>
        </w:tc>
        <w:tc>
          <w:tcPr>
            <w:tcW w:w="2534" w:type="dxa"/>
            <w:tcBorders>
              <w:top w:val="single" w:color="auto" w:sz="4" w:space="0"/>
              <w:left w:val="single" w:color="auto" w:sz="4" w:space="0"/>
              <w:bottom w:val="single" w:color="auto" w:sz="4" w:space="0"/>
              <w:right w:val="single" w:color="auto" w:sz="4" w:space="0"/>
            </w:tcBorders>
            <w:noWrap/>
            <w:vAlign w:val="center"/>
          </w:tcPr>
          <w:p w14:paraId="3816BB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30万元</w:t>
            </w:r>
          </w:p>
        </w:tc>
      </w:tr>
      <w:tr w14:paraId="63904356">
        <w:tblPrEx>
          <w:tblCellMar>
            <w:top w:w="0" w:type="dxa"/>
            <w:left w:w="108" w:type="dxa"/>
            <w:bottom w:w="0" w:type="dxa"/>
            <w:right w:w="108" w:type="dxa"/>
          </w:tblCellMar>
        </w:tblPrEx>
        <w:trPr>
          <w:trHeight w:val="276" w:hRule="atLeast"/>
        </w:trPr>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30FEA417"/>
        </w:tc>
        <w:tc>
          <w:tcPr>
            <w:tcW w:w="4555" w:type="dxa"/>
            <w:tcBorders>
              <w:top w:val="single" w:color="auto" w:sz="4" w:space="0"/>
              <w:left w:val="single" w:color="auto" w:sz="4" w:space="0"/>
              <w:bottom w:val="single" w:color="auto" w:sz="4" w:space="0"/>
              <w:right w:val="single" w:color="auto" w:sz="4" w:space="0"/>
            </w:tcBorders>
            <w:noWrap/>
            <w:vAlign w:val="center"/>
          </w:tcPr>
          <w:p w14:paraId="5DC2AC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林业主要有害生物防控技术研究</w:t>
            </w:r>
          </w:p>
        </w:tc>
        <w:tc>
          <w:tcPr>
            <w:tcW w:w="2534" w:type="dxa"/>
            <w:tcBorders>
              <w:top w:val="single" w:color="auto" w:sz="4" w:space="0"/>
              <w:left w:val="single" w:color="auto" w:sz="4" w:space="0"/>
              <w:bottom w:val="single" w:color="auto" w:sz="4" w:space="0"/>
              <w:right w:val="single" w:color="auto" w:sz="4" w:space="0"/>
            </w:tcBorders>
            <w:noWrap/>
            <w:vAlign w:val="center"/>
          </w:tcPr>
          <w:p w14:paraId="49FADD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20万元</w:t>
            </w:r>
          </w:p>
        </w:tc>
      </w:tr>
      <w:tr w14:paraId="13B5399D">
        <w:tblPrEx>
          <w:tblCellMar>
            <w:top w:w="0" w:type="dxa"/>
            <w:left w:w="108" w:type="dxa"/>
            <w:bottom w:w="0" w:type="dxa"/>
            <w:right w:w="108" w:type="dxa"/>
          </w:tblCellMar>
        </w:tblPrEx>
        <w:trPr>
          <w:trHeight w:val="276" w:hRule="atLeast"/>
        </w:trPr>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10F5FC07"/>
        </w:tc>
        <w:tc>
          <w:tcPr>
            <w:tcW w:w="4555" w:type="dxa"/>
            <w:tcBorders>
              <w:top w:val="single" w:color="auto" w:sz="4" w:space="0"/>
              <w:left w:val="single" w:color="auto" w:sz="4" w:space="0"/>
              <w:bottom w:val="single" w:color="auto" w:sz="4" w:space="0"/>
              <w:right w:val="single" w:color="auto" w:sz="4" w:space="0"/>
            </w:tcBorders>
            <w:noWrap/>
            <w:vAlign w:val="center"/>
          </w:tcPr>
          <w:p w14:paraId="4AD9A32C">
            <w:pPr>
              <w:widowControl/>
              <w:jc w:val="center"/>
              <w:rPr>
                <w:rFonts w:ascii="等线" w:hAnsi="等线" w:eastAsia="等线" w:cs="宋体"/>
                <w:color w:val="000000"/>
                <w:kern w:val="0"/>
                <w:sz w:val="18"/>
                <w:szCs w:val="18"/>
              </w:rPr>
            </w:pPr>
            <w:bookmarkStart w:id="80" w:name="OLE_LINK6"/>
            <w:r>
              <w:rPr>
                <w:rFonts w:hint="eastAsia" w:ascii="等线" w:hAnsi="等线" w:eastAsia="等线" w:cs="宋体"/>
                <w:color w:val="000000"/>
                <w:kern w:val="0"/>
                <w:sz w:val="18"/>
                <w:szCs w:val="18"/>
              </w:rPr>
              <w:t>核桃优良品种选育研究</w:t>
            </w:r>
            <w:bookmarkEnd w:id="80"/>
          </w:p>
        </w:tc>
        <w:tc>
          <w:tcPr>
            <w:tcW w:w="2534" w:type="dxa"/>
            <w:tcBorders>
              <w:top w:val="single" w:color="auto" w:sz="4" w:space="0"/>
              <w:left w:val="single" w:color="auto" w:sz="4" w:space="0"/>
              <w:bottom w:val="single" w:color="auto" w:sz="4" w:space="0"/>
              <w:right w:val="single" w:color="auto" w:sz="4" w:space="0"/>
            </w:tcBorders>
            <w:noWrap/>
            <w:vAlign w:val="center"/>
          </w:tcPr>
          <w:p w14:paraId="3F2C3F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20万元</w:t>
            </w:r>
          </w:p>
        </w:tc>
      </w:tr>
    </w:tbl>
    <w:p w14:paraId="25EA2FD3">
      <w:pPr>
        <w:adjustRightInd w:val="0"/>
        <w:snapToGrid w:val="0"/>
        <w:spacing w:line="600" w:lineRule="exact"/>
        <w:ind w:firstLine="720"/>
        <w:rPr>
          <w:rFonts w:eastAsia="仿宋_GB2312"/>
          <w:sz w:val="32"/>
          <w:szCs w:val="32"/>
          <w:lang w:val="zh-CN"/>
        </w:rPr>
      </w:pPr>
    </w:p>
    <w:p w14:paraId="05FA9529">
      <w:pPr>
        <w:adjustRightInd w:val="0"/>
        <w:snapToGrid w:val="0"/>
        <w:spacing w:line="600" w:lineRule="exact"/>
        <w:ind w:firstLine="720"/>
        <w:rPr>
          <w:rFonts w:eastAsia="仿宋_GB2312"/>
          <w:b/>
          <w:sz w:val="32"/>
          <w:szCs w:val="32"/>
          <w:lang w:val="zh-CN"/>
        </w:rPr>
      </w:pPr>
      <w:r>
        <w:rPr>
          <w:rFonts w:eastAsia="仿宋_GB2312"/>
          <w:b/>
          <w:sz w:val="32"/>
          <w:szCs w:val="32"/>
          <w:lang w:val="zh-CN"/>
        </w:rPr>
        <w:t>3.分析评价申报内容是否与实际相符，申报目标是否合理可行。</w:t>
      </w:r>
      <w:r>
        <w:rPr>
          <w:rFonts w:hint="eastAsia" w:eastAsia="仿宋_GB2312"/>
          <w:sz w:val="32"/>
          <w:szCs w:val="32"/>
          <w:lang w:val="zh-CN"/>
        </w:rPr>
        <w:t>项目资金来源渠道为生态功能区转移支付资金，渠道合法合规。项目成果实现对林业产业增产增收、恢复种植信心、维持社会稳定具有重要的意义，更是落实国家“绿水青山就是金山银山”的发展战略，具有公共性，属于公共财政支持范围，筹资渠道符合法律法规规定，筹资结构合理，资金来源渠道明确，资金到位时间、条件能够落实。</w:t>
      </w:r>
    </w:p>
    <w:p w14:paraId="7337A396">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单位财务室负责对项目经费开支情况进行审核，学术委员会负责对项目实施情况进行抽查，科技管理科对项目申报、实施、验收等进行全程监督和管理。该项目的实施，每个环节均有严格的制度办法规范工作，并在严格的监督下开展，出现工作失误风险等情况低。项目组成员均是长期参与项目的研发人员，有丰富应对不良气候和应急处理的经验，能够处理好项目实施过程中出现的突发事件。</w:t>
      </w:r>
    </w:p>
    <w:p w14:paraId="0267FB33">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31C60227">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1．评估程序</w:t>
      </w:r>
    </w:p>
    <w:p w14:paraId="5FF3B9AB">
      <w:pPr>
        <w:adjustRightInd w:val="0"/>
        <w:snapToGrid w:val="0"/>
        <w:spacing w:line="600" w:lineRule="exact"/>
        <w:ind w:firstLine="720"/>
        <w:rPr>
          <w:rFonts w:eastAsia="仿宋_GB2312"/>
          <w:sz w:val="32"/>
          <w:szCs w:val="32"/>
        </w:rPr>
      </w:pPr>
      <w:r>
        <w:rPr>
          <w:rFonts w:hint="eastAsia" w:eastAsia="仿宋_GB2312"/>
          <w:sz w:val="32"/>
          <w:szCs w:val="32"/>
        </w:rPr>
        <w:t>按照有关规定和工作安排，我单位开展自行评估，通过自行组建评估组，</w:t>
      </w:r>
      <w:r>
        <w:rPr>
          <w:rFonts w:eastAsia="仿宋_GB2312"/>
          <w:sz w:val="32"/>
          <w:szCs w:val="32"/>
        </w:rPr>
        <w:t>通过</w:t>
      </w:r>
      <w:r>
        <w:rPr>
          <w:rFonts w:hint="eastAsia" w:eastAsia="仿宋_GB2312"/>
          <w:sz w:val="32"/>
          <w:szCs w:val="32"/>
        </w:rPr>
        <w:t>收集被评估</w:t>
      </w:r>
      <w:r>
        <w:rPr>
          <w:rFonts w:eastAsia="仿宋_GB2312"/>
          <w:sz w:val="32"/>
          <w:szCs w:val="32"/>
        </w:rPr>
        <w:t>项目</w:t>
      </w:r>
      <w:r>
        <w:rPr>
          <w:rFonts w:hint="eastAsia" w:eastAsia="仿宋_GB2312"/>
          <w:sz w:val="32"/>
          <w:szCs w:val="32"/>
        </w:rPr>
        <w:t>相关</w:t>
      </w:r>
      <w:r>
        <w:rPr>
          <w:rFonts w:eastAsia="仿宋_GB2312"/>
          <w:sz w:val="32"/>
          <w:szCs w:val="32"/>
        </w:rPr>
        <w:t>基础资料，</w:t>
      </w:r>
      <w:r>
        <w:rPr>
          <w:rFonts w:hint="eastAsia" w:eastAsia="仿宋_GB2312"/>
          <w:sz w:val="32"/>
          <w:szCs w:val="32"/>
        </w:rPr>
        <w:t>并</w:t>
      </w:r>
      <w:r>
        <w:rPr>
          <w:rFonts w:eastAsia="仿宋_GB2312"/>
          <w:sz w:val="32"/>
          <w:szCs w:val="32"/>
        </w:rPr>
        <w:t>查阅资料、</w:t>
      </w:r>
      <w:r>
        <w:rPr>
          <w:rFonts w:hint="eastAsia" w:eastAsia="仿宋_GB2312"/>
          <w:sz w:val="32"/>
          <w:szCs w:val="32"/>
        </w:rPr>
        <w:t>收集数据信息</w:t>
      </w:r>
      <w:r>
        <w:rPr>
          <w:rFonts w:eastAsia="仿宋_GB2312"/>
          <w:sz w:val="32"/>
          <w:szCs w:val="32"/>
        </w:rPr>
        <w:t>等</w:t>
      </w:r>
      <w:r>
        <w:rPr>
          <w:rFonts w:hint="eastAsia" w:eastAsia="仿宋_GB2312"/>
          <w:sz w:val="32"/>
          <w:szCs w:val="32"/>
        </w:rPr>
        <w:t>，深入论证</w:t>
      </w:r>
      <w:r>
        <w:rPr>
          <w:rFonts w:eastAsia="仿宋_GB2312"/>
          <w:sz w:val="32"/>
          <w:szCs w:val="32"/>
        </w:rPr>
        <w:t>分析后，形成绩效评估报告。</w:t>
      </w:r>
    </w:p>
    <w:p w14:paraId="75ECCA29">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2．评估方法</w:t>
      </w:r>
    </w:p>
    <w:p w14:paraId="03D5ADB7">
      <w:pPr>
        <w:adjustRightInd w:val="0"/>
        <w:snapToGrid w:val="0"/>
        <w:spacing w:line="600" w:lineRule="exact"/>
        <w:ind w:firstLine="720"/>
        <w:rPr>
          <w:rFonts w:eastAsia="仿宋_GB2312"/>
          <w:sz w:val="32"/>
          <w:szCs w:val="32"/>
        </w:rPr>
      </w:pPr>
      <w:r>
        <w:rPr>
          <w:rFonts w:hint="eastAsia" w:eastAsia="仿宋_GB2312"/>
          <w:sz w:val="32"/>
          <w:szCs w:val="32"/>
        </w:rPr>
        <w:t>本项目通过现场踏勘、与项目相关人员座谈或讨论</w:t>
      </w:r>
      <w:r>
        <w:rPr>
          <w:rFonts w:eastAsia="仿宋_GB2312"/>
          <w:sz w:val="32"/>
          <w:szCs w:val="32"/>
        </w:rPr>
        <w:t>、市场调研</w:t>
      </w:r>
      <w:r>
        <w:rPr>
          <w:rFonts w:hint="eastAsia" w:eastAsia="仿宋_GB2312"/>
          <w:sz w:val="32"/>
          <w:szCs w:val="32"/>
        </w:rPr>
        <w:t>等方法</w:t>
      </w:r>
      <w:r>
        <w:rPr>
          <w:rFonts w:eastAsia="仿宋_GB2312"/>
          <w:sz w:val="32"/>
          <w:szCs w:val="32"/>
        </w:rPr>
        <w:t>了解项目情况</w:t>
      </w:r>
      <w:r>
        <w:rPr>
          <w:rFonts w:hint="eastAsia" w:eastAsia="仿宋_GB2312"/>
          <w:sz w:val="32"/>
          <w:szCs w:val="32"/>
        </w:rPr>
        <w:t>，收集相关资料，综合分析相关情况后，对项目的立项必要性、投入经济性、目标合理性、方案可行性以及筹资合规性实施评估。</w:t>
      </w:r>
    </w:p>
    <w:p w14:paraId="3397FFEE">
      <w:pPr>
        <w:adjustRightInd w:val="0"/>
        <w:snapToGrid w:val="0"/>
        <w:spacing w:line="600" w:lineRule="exact"/>
        <w:ind w:firstLine="720"/>
        <w:rPr>
          <w:rFonts w:eastAsia="仿宋_GB2312"/>
          <w:sz w:val="32"/>
          <w:szCs w:val="32"/>
        </w:rPr>
      </w:pPr>
    </w:p>
    <w:p w14:paraId="6F5DFEC7">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3A325ACC">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44F446A8">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生态功能区转移支付项目于2024年1月由攀枝花市农林科学研究院向市林业局申报，并于2024年3月取得立项，于2025年2月结转剩余资金。本项目资金来源生态功能区转移支付资金，共计100万元。</w:t>
      </w:r>
    </w:p>
    <w:p w14:paraId="7C56C5C1">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w:t>
      </w:r>
    </w:p>
    <w:p w14:paraId="73108335">
      <w:pPr>
        <w:pStyle w:val="30"/>
        <w:numPr>
          <w:ilvl w:val="0"/>
          <w:numId w:val="3"/>
        </w:numPr>
        <w:adjustRightInd w:val="0"/>
        <w:snapToGrid w:val="0"/>
        <w:spacing w:line="600" w:lineRule="exact"/>
        <w:ind w:firstLineChars="0"/>
        <w:rPr>
          <w:rFonts w:eastAsia="楷体_GB2312"/>
          <w:sz w:val="32"/>
          <w:szCs w:val="32"/>
          <w:lang w:val="zh-CN"/>
        </w:rPr>
      </w:pPr>
      <w:r>
        <w:rPr>
          <w:rFonts w:eastAsia="楷体_GB2312"/>
          <w:sz w:val="32"/>
          <w:szCs w:val="32"/>
          <w:lang w:val="zh-CN"/>
        </w:rPr>
        <w:t>资金计划。</w:t>
      </w:r>
    </w:p>
    <w:p w14:paraId="1FB37EA0">
      <w:pPr>
        <w:pStyle w:val="30"/>
        <w:adjustRightInd w:val="0"/>
        <w:snapToGrid w:val="0"/>
        <w:spacing w:line="600" w:lineRule="exact"/>
        <w:ind w:left="1215" w:firstLine="0" w:firstLineChars="0"/>
        <w:rPr>
          <w:rFonts w:eastAsia="楷体_GB2312"/>
          <w:sz w:val="32"/>
          <w:szCs w:val="32"/>
          <w:lang w:val="zh-CN"/>
        </w:rPr>
      </w:pPr>
      <w:r>
        <w:rPr>
          <w:rFonts w:hint="eastAsia" w:eastAsia="楷体_GB2312"/>
          <w:sz w:val="32"/>
          <w:szCs w:val="32"/>
          <w:lang w:val="zh-CN"/>
        </w:rPr>
        <w:t>生态功能区转移支付资金详见下表。</w:t>
      </w:r>
    </w:p>
    <w:p w14:paraId="75F951F4">
      <w:pPr>
        <w:adjustRightInd w:val="0"/>
        <w:snapToGrid w:val="0"/>
        <w:spacing w:line="600" w:lineRule="exact"/>
        <w:ind w:left="720"/>
        <w:jc w:val="center"/>
        <w:rPr>
          <w:rFonts w:eastAsia="楷体_GB2312"/>
          <w:sz w:val="32"/>
          <w:szCs w:val="32"/>
          <w:lang w:val="zh-CN"/>
        </w:rPr>
      </w:pPr>
      <w:r>
        <w:rPr>
          <w:rFonts w:hint="eastAsia" w:eastAsia="楷体_GB2312"/>
          <w:sz w:val="32"/>
          <w:szCs w:val="32"/>
          <w:lang w:val="zh-CN"/>
        </w:rPr>
        <w:t>生态功能区转移支付资金计划表</w:t>
      </w:r>
    </w:p>
    <w:tbl>
      <w:tblPr>
        <w:tblStyle w:val="1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678"/>
        <w:gridCol w:w="1559"/>
        <w:gridCol w:w="2127"/>
      </w:tblGrid>
      <w:tr w14:paraId="7027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3E2A9EC9">
            <w:pPr>
              <w:adjustRightInd w:val="0"/>
              <w:snapToGrid w:val="0"/>
              <w:spacing w:line="600" w:lineRule="exact"/>
              <w:rPr>
                <w:rFonts w:eastAsia="仿宋_GB2312"/>
                <w:szCs w:val="21"/>
                <w:lang w:val="zh-CN"/>
              </w:rPr>
            </w:pPr>
            <w:r>
              <w:rPr>
                <w:rFonts w:hint="eastAsia"/>
                <w:szCs w:val="21"/>
                <w:lang w:val="zh-CN"/>
              </w:rPr>
              <w:t>序号</w:t>
            </w:r>
          </w:p>
        </w:tc>
        <w:tc>
          <w:tcPr>
            <w:tcW w:w="4678" w:type="dxa"/>
            <w:tcBorders>
              <w:top w:val="single" w:color="auto" w:sz="4" w:space="0"/>
              <w:left w:val="single" w:color="auto" w:sz="4" w:space="0"/>
              <w:bottom w:val="single" w:color="auto" w:sz="4" w:space="0"/>
              <w:right w:val="single" w:color="auto" w:sz="4" w:space="0"/>
            </w:tcBorders>
          </w:tcPr>
          <w:p w14:paraId="0F1315B2">
            <w:pPr>
              <w:adjustRightInd w:val="0"/>
              <w:snapToGrid w:val="0"/>
              <w:spacing w:line="600" w:lineRule="exact"/>
              <w:rPr>
                <w:rFonts w:eastAsia="仿宋_GB2312"/>
                <w:szCs w:val="21"/>
                <w:lang w:val="zh-CN"/>
              </w:rPr>
            </w:pPr>
            <w:r>
              <w:rPr>
                <w:rFonts w:hint="eastAsia"/>
                <w:szCs w:val="21"/>
                <w:lang w:val="zh-CN"/>
              </w:rPr>
              <w:t>项目名称</w:t>
            </w:r>
          </w:p>
        </w:tc>
        <w:tc>
          <w:tcPr>
            <w:tcW w:w="1559" w:type="dxa"/>
            <w:tcBorders>
              <w:top w:val="single" w:color="auto" w:sz="4" w:space="0"/>
              <w:left w:val="single" w:color="auto" w:sz="4" w:space="0"/>
              <w:bottom w:val="single" w:color="auto" w:sz="4" w:space="0"/>
              <w:right w:val="single" w:color="auto" w:sz="4" w:space="0"/>
            </w:tcBorders>
          </w:tcPr>
          <w:p w14:paraId="588B5D98">
            <w:pPr>
              <w:adjustRightInd w:val="0"/>
              <w:snapToGrid w:val="0"/>
              <w:spacing w:line="600" w:lineRule="exact"/>
              <w:rPr>
                <w:rFonts w:eastAsia="仿宋_GB2312"/>
                <w:szCs w:val="21"/>
                <w:lang w:val="zh-CN"/>
              </w:rPr>
            </w:pPr>
            <w:r>
              <w:rPr>
                <w:rFonts w:hint="eastAsia"/>
                <w:szCs w:val="21"/>
                <w:lang w:val="zh-CN"/>
              </w:rPr>
              <w:t>资金数（万元）</w:t>
            </w:r>
          </w:p>
        </w:tc>
        <w:tc>
          <w:tcPr>
            <w:tcW w:w="2127" w:type="dxa"/>
            <w:tcBorders>
              <w:top w:val="single" w:color="auto" w:sz="4" w:space="0"/>
              <w:left w:val="single" w:color="auto" w:sz="4" w:space="0"/>
              <w:bottom w:val="single" w:color="auto" w:sz="4" w:space="0"/>
              <w:right w:val="single" w:color="auto" w:sz="4" w:space="0"/>
            </w:tcBorders>
          </w:tcPr>
          <w:p w14:paraId="0441D65C">
            <w:pPr>
              <w:adjustRightInd w:val="0"/>
              <w:snapToGrid w:val="0"/>
              <w:spacing w:line="600" w:lineRule="exact"/>
              <w:rPr>
                <w:rFonts w:eastAsia="仿宋_GB2312"/>
                <w:szCs w:val="21"/>
                <w:lang w:val="zh-CN"/>
              </w:rPr>
            </w:pPr>
            <w:r>
              <w:rPr>
                <w:rFonts w:hint="eastAsia"/>
                <w:szCs w:val="21"/>
                <w:lang w:val="zh-CN"/>
              </w:rPr>
              <w:t>资金渠道</w:t>
            </w:r>
          </w:p>
        </w:tc>
      </w:tr>
      <w:tr w14:paraId="3F63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2EFD1857">
            <w:pPr>
              <w:adjustRightInd w:val="0"/>
              <w:snapToGrid w:val="0"/>
              <w:spacing w:line="600" w:lineRule="exact"/>
              <w:rPr>
                <w:rFonts w:eastAsia="仿宋_GB2312"/>
                <w:szCs w:val="21"/>
                <w:lang w:val="zh-CN"/>
              </w:rPr>
            </w:pPr>
            <w:r>
              <w:rPr>
                <w:szCs w:val="21"/>
                <w:lang w:val="zh-CN"/>
              </w:rPr>
              <w:t>1</w:t>
            </w:r>
          </w:p>
        </w:tc>
        <w:tc>
          <w:tcPr>
            <w:tcW w:w="4678" w:type="dxa"/>
            <w:tcBorders>
              <w:top w:val="single" w:color="auto" w:sz="4" w:space="0"/>
              <w:left w:val="single" w:color="auto" w:sz="4" w:space="0"/>
              <w:bottom w:val="single" w:color="auto" w:sz="4" w:space="0"/>
              <w:right w:val="single" w:color="auto" w:sz="4" w:space="0"/>
            </w:tcBorders>
          </w:tcPr>
          <w:p w14:paraId="790DB058">
            <w:pPr>
              <w:adjustRightInd w:val="0"/>
              <w:snapToGrid w:val="0"/>
              <w:spacing w:line="600" w:lineRule="exact"/>
              <w:rPr>
                <w:rFonts w:ascii="仿宋" w:hAnsi="仿宋" w:eastAsia="仿宋"/>
                <w:szCs w:val="21"/>
                <w:lang w:val="zh-CN"/>
              </w:rPr>
            </w:pPr>
            <w:r>
              <w:rPr>
                <w:rFonts w:hint="eastAsia" w:ascii="仿宋" w:hAnsi="仿宋" w:eastAsia="仿宋" w:cs="宋体"/>
                <w:kern w:val="0"/>
                <w:szCs w:val="21"/>
              </w:rPr>
              <w:t>块菌生态培育技术集成与示范</w:t>
            </w:r>
          </w:p>
        </w:tc>
        <w:tc>
          <w:tcPr>
            <w:tcW w:w="1559" w:type="dxa"/>
            <w:tcBorders>
              <w:top w:val="single" w:color="auto" w:sz="4" w:space="0"/>
              <w:left w:val="single" w:color="auto" w:sz="4" w:space="0"/>
              <w:bottom w:val="single" w:color="auto" w:sz="4" w:space="0"/>
              <w:right w:val="single" w:color="auto" w:sz="4" w:space="0"/>
            </w:tcBorders>
          </w:tcPr>
          <w:p w14:paraId="1769B484">
            <w:pPr>
              <w:adjustRightInd w:val="0"/>
              <w:snapToGrid w:val="0"/>
              <w:spacing w:line="600" w:lineRule="exact"/>
              <w:rPr>
                <w:rFonts w:eastAsia="仿宋_GB2312"/>
                <w:szCs w:val="21"/>
                <w:lang w:val="zh-CN"/>
              </w:rPr>
            </w:pPr>
            <w:r>
              <w:rPr>
                <w:szCs w:val="21"/>
                <w:lang w:val="zh-CN"/>
              </w:rPr>
              <w:t>30</w:t>
            </w:r>
          </w:p>
        </w:tc>
        <w:tc>
          <w:tcPr>
            <w:tcW w:w="2127" w:type="dxa"/>
            <w:tcBorders>
              <w:top w:val="single" w:color="auto" w:sz="4" w:space="0"/>
              <w:left w:val="single" w:color="auto" w:sz="4" w:space="0"/>
              <w:bottom w:val="single" w:color="auto" w:sz="4" w:space="0"/>
              <w:right w:val="single" w:color="auto" w:sz="4" w:space="0"/>
            </w:tcBorders>
          </w:tcPr>
          <w:p w14:paraId="4E1AF68E">
            <w:pPr>
              <w:adjustRightInd w:val="0"/>
              <w:snapToGrid w:val="0"/>
              <w:spacing w:line="600" w:lineRule="exact"/>
              <w:rPr>
                <w:rFonts w:eastAsia="仿宋_GB2312"/>
                <w:szCs w:val="21"/>
                <w:lang w:val="zh-CN"/>
              </w:rPr>
            </w:pPr>
            <w:r>
              <w:rPr>
                <w:rFonts w:hint="eastAsia"/>
                <w:szCs w:val="21"/>
                <w:lang w:val="zh-CN"/>
              </w:rPr>
              <w:t>生态功能区转移支付</w:t>
            </w:r>
          </w:p>
        </w:tc>
      </w:tr>
      <w:tr w14:paraId="3DF0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599DF044">
            <w:pPr>
              <w:adjustRightInd w:val="0"/>
              <w:snapToGrid w:val="0"/>
              <w:spacing w:line="600" w:lineRule="exact"/>
              <w:rPr>
                <w:rFonts w:eastAsia="仿宋_GB2312"/>
                <w:szCs w:val="21"/>
                <w:lang w:val="zh-CN"/>
              </w:rPr>
            </w:pPr>
            <w:r>
              <w:rPr>
                <w:szCs w:val="21"/>
                <w:lang w:val="zh-CN"/>
              </w:rPr>
              <w:t>2</w:t>
            </w:r>
          </w:p>
        </w:tc>
        <w:tc>
          <w:tcPr>
            <w:tcW w:w="4678" w:type="dxa"/>
            <w:tcBorders>
              <w:top w:val="single" w:color="auto" w:sz="4" w:space="0"/>
              <w:left w:val="single" w:color="auto" w:sz="4" w:space="0"/>
              <w:bottom w:val="single" w:color="auto" w:sz="4" w:space="0"/>
              <w:right w:val="single" w:color="auto" w:sz="4" w:space="0"/>
            </w:tcBorders>
          </w:tcPr>
          <w:p w14:paraId="5B8B1FBA">
            <w:pPr>
              <w:adjustRightInd w:val="0"/>
              <w:snapToGrid w:val="0"/>
              <w:spacing w:line="600" w:lineRule="exact"/>
              <w:rPr>
                <w:rFonts w:ascii="仿宋" w:hAnsi="仿宋" w:eastAsia="仿宋"/>
                <w:szCs w:val="21"/>
                <w:lang w:val="zh-CN"/>
              </w:rPr>
            </w:pPr>
            <w:r>
              <w:rPr>
                <w:rFonts w:hint="eastAsia" w:ascii="仿宋" w:hAnsi="仿宋" w:eastAsia="仿宋" w:cs="宋体"/>
                <w:kern w:val="0"/>
                <w:szCs w:val="21"/>
              </w:rPr>
              <w:t>中高山地区林地综合效益提升示范</w:t>
            </w:r>
          </w:p>
        </w:tc>
        <w:tc>
          <w:tcPr>
            <w:tcW w:w="1559" w:type="dxa"/>
            <w:tcBorders>
              <w:top w:val="single" w:color="auto" w:sz="4" w:space="0"/>
              <w:left w:val="single" w:color="auto" w:sz="4" w:space="0"/>
              <w:bottom w:val="single" w:color="auto" w:sz="4" w:space="0"/>
              <w:right w:val="single" w:color="auto" w:sz="4" w:space="0"/>
            </w:tcBorders>
          </w:tcPr>
          <w:p w14:paraId="34E3F7AD">
            <w:pPr>
              <w:adjustRightInd w:val="0"/>
              <w:snapToGrid w:val="0"/>
              <w:spacing w:line="600" w:lineRule="exact"/>
              <w:rPr>
                <w:rFonts w:eastAsia="仿宋_GB2312"/>
                <w:szCs w:val="21"/>
                <w:lang w:val="zh-CN"/>
              </w:rPr>
            </w:pPr>
            <w:r>
              <w:rPr>
                <w:szCs w:val="21"/>
                <w:lang w:val="zh-CN"/>
              </w:rPr>
              <w:t>30</w:t>
            </w:r>
          </w:p>
        </w:tc>
        <w:tc>
          <w:tcPr>
            <w:tcW w:w="2127" w:type="dxa"/>
            <w:tcBorders>
              <w:top w:val="single" w:color="auto" w:sz="4" w:space="0"/>
              <w:left w:val="single" w:color="auto" w:sz="4" w:space="0"/>
              <w:bottom w:val="single" w:color="auto" w:sz="4" w:space="0"/>
              <w:right w:val="single" w:color="auto" w:sz="4" w:space="0"/>
            </w:tcBorders>
          </w:tcPr>
          <w:p w14:paraId="5F850D9C">
            <w:pPr>
              <w:adjustRightInd w:val="0"/>
              <w:snapToGrid w:val="0"/>
              <w:spacing w:line="600" w:lineRule="exact"/>
              <w:rPr>
                <w:rFonts w:eastAsia="仿宋_GB2312"/>
                <w:szCs w:val="21"/>
                <w:lang w:val="zh-CN"/>
              </w:rPr>
            </w:pPr>
            <w:r>
              <w:rPr>
                <w:rFonts w:hint="eastAsia"/>
                <w:szCs w:val="21"/>
                <w:lang w:val="zh-CN"/>
              </w:rPr>
              <w:t>生态功能区转移支付</w:t>
            </w:r>
          </w:p>
        </w:tc>
      </w:tr>
      <w:tr w14:paraId="0CF4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A349949">
            <w:pPr>
              <w:adjustRightInd w:val="0"/>
              <w:snapToGrid w:val="0"/>
              <w:spacing w:line="600" w:lineRule="exact"/>
              <w:rPr>
                <w:rFonts w:eastAsia="仿宋_GB2312"/>
                <w:szCs w:val="21"/>
                <w:lang w:val="zh-CN"/>
              </w:rPr>
            </w:pPr>
            <w:r>
              <w:rPr>
                <w:szCs w:val="21"/>
                <w:lang w:val="zh-CN"/>
              </w:rPr>
              <w:t>3</w:t>
            </w:r>
          </w:p>
        </w:tc>
        <w:tc>
          <w:tcPr>
            <w:tcW w:w="4678" w:type="dxa"/>
            <w:tcBorders>
              <w:top w:val="single" w:color="auto" w:sz="4" w:space="0"/>
              <w:left w:val="single" w:color="auto" w:sz="4" w:space="0"/>
              <w:bottom w:val="single" w:color="auto" w:sz="4" w:space="0"/>
              <w:right w:val="single" w:color="auto" w:sz="4" w:space="0"/>
            </w:tcBorders>
          </w:tcPr>
          <w:p w14:paraId="08A95809">
            <w:pPr>
              <w:adjustRightInd w:val="0"/>
              <w:snapToGrid w:val="0"/>
              <w:spacing w:line="600" w:lineRule="exact"/>
              <w:rPr>
                <w:rFonts w:ascii="仿宋" w:hAnsi="仿宋" w:eastAsia="仿宋"/>
                <w:szCs w:val="21"/>
                <w:lang w:val="zh-CN"/>
              </w:rPr>
            </w:pPr>
            <w:r>
              <w:rPr>
                <w:rFonts w:hint="eastAsia" w:ascii="仿宋" w:hAnsi="仿宋" w:eastAsia="仿宋" w:cs="宋体"/>
                <w:kern w:val="0"/>
                <w:szCs w:val="21"/>
              </w:rPr>
              <w:t>林业主要有害生物防控技术研究</w:t>
            </w:r>
          </w:p>
        </w:tc>
        <w:tc>
          <w:tcPr>
            <w:tcW w:w="1559" w:type="dxa"/>
            <w:tcBorders>
              <w:top w:val="single" w:color="auto" w:sz="4" w:space="0"/>
              <w:left w:val="single" w:color="auto" w:sz="4" w:space="0"/>
              <w:bottom w:val="single" w:color="auto" w:sz="4" w:space="0"/>
              <w:right w:val="single" w:color="auto" w:sz="4" w:space="0"/>
            </w:tcBorders>
          </w:tcPr>
          <w:p w14:paraId="5A63D7A6">
            <w:pPr>
              <w:adjustRightInd w:val="0"/>
              <w:snapToGrid w:val="0"/>
              <w:spacing w:line="600" w:lineRule="exact"/>
              <w:rPr>
                <w:rFonts w:eastAsia="仿宋_GB2312"/>
                <w:szCs w:val="21"/>
                <w:lang w:val="zh-CN"/>
              </w:rPr>
            </w:pPr>
            <w:r>
              <w:rPr>
                <w:szCs w:val="21"/>
                <w:lang w:val="zh-CN"/>
              </w:rPr>
              <w:t>20</w:t>
            </w:r>
          </w:p>
        </w:tc>
        <w:tc>
          <w:tcPr>
            <w:tcW w:w="2127" w:type="dxa"/>
            <w:tcBorders>
              <w:top w:val="single" w:color="auto" w:sz="4" w:space="0"/>
              <w:left w:val="single" w:color="auto" w:sz="4" w:space="0"/>
              <w:bottom w:val="single" w:color="auto" w:sz="4" w:space="0"/>
              <w:right w:val="single" w:color="auto" w:sz="4" w:space="0"/>
            </w:tcBorders>
          </w:tcPr>
          <w:p w14:paraId="1A2172A9">
            <w:pPr>
              <w:adjustRightInd w:val="0"/>
              <w:snapToGrid w:val="0"/>
              <w:spacing w:line="600" w:lineRule="exact"/>
              <w:rPr>
                <w:rFonts w:eastAsia="仿宋_GB2312"/>
                <w:szCs w:val="21"/>
                <w:lang w:val="zh-CN"/>
              </w:rPr>
            </w:pPr>
            <w:r>
              <w:rPr>
                <w:rFonts w:hint="eastAsia"/>
                <w:szCs w:val="21"/>
                <w:lang w:val="zh-CN"/>
              </w:rPr>
              <w:t>生态功能区转移支付</w:t>
            </w:r>
          </w:p>
        </w:tc>
      </w:tr>
      <w:tr w14:paraId="2A09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4AC89BF">
            <w:pPr>
              <w:adjustRightInd w:val="0"/>
              <w:snapToGrid w:val="0"/>
              <w:spacing w:line="600" w:lineRule="exact"/>
              <w:rPr>
                <w:rFonts w:eastAsia="仿宋_GB2312"/>
                <w:szCs w:val="21"/>
                <w:lang w:val="zh-CN"/>
              </w:rPr>
            </w:pPr>
            <w:r>
              <w:rPr>
                <w:szCs w:val="21"/>
                <w:lang w:val="zh-CN"/>
              </w:rPr>
              <w:t>4</w:t>
            </w:r>
          </w:p>
        </w:tc>
        <w:tc>
          <w:tcPr>
            <w:tcW w:w="4678" w:type="dxa"/>
            <w:tcBorders>
              <w:top w:val="single" w:color="auto" w:sz="4" w:space="0"/>
              <w:left w:val="single" w:color="auto" w:sz="4" w:space="0"/>
              <w:bottom w:val="single" w:color="auto" w:sz="4" w:space="0"/>
              <w:right w:val="single" w:color="auto" w:sz="4" w:space="0"/>
            </w:tcBorders>
          </w:tcPr>
          <w:p w14:paraId="46157D26">
            <w:pPr>
              <w:adjustRightInd w:val="0"/>
              <w:snapToGrid w:val="0"/>
              <w:spacing w:line="600" w:lineRule="exact"/>
              <w:rPr>
                <w:rFonts w:ascii="仿宋" w:hAnsi="仿宋" w:eastAsia="仿宋"/>
                <w:szCs w:val="21"/>
                <w:lang w:val="zh-CN"/>
              </w:rPr>
            </w:pPr>
            <w:r>
              <w:rPr>
                <w:rFonts w:hint="eastAsia" w:ascii="仿宋" w:hAnsi="仿宋" w:eastAsia="仿宋" w:cs="宋体"/>
                <w:kern w:val="0"/>
                <w:szCs w:val="21"/>
              </w:rPr>
              <w:t>核桃优良品种选育研究</w:t>
            </w:r>
          </w:p>
        </w:tc>
        <w:tc>
          <w:tcPr>
            <w:tcW w:w="1559" w:type="dxa"/>
            <w:tcBorders>
              <w:top w:val="single" w:color="auto" w:sz="4" w:space="0"/>
              <w:left w:val="single" w:color="auto" w:sz="4" w:space="0"/>
              <w:bottom w:val="single" w:color="auto" w:sz="4" w:space="0"/>
              <w:right w:val="single" w:color="auto" w:sz="4" w:space="0"/>
            </w:tcBorders>
          </w:tcPr>
          <w:p w14:paraId="51B1A205">
            <w:pPr>
              <w:adjustRightInd w:val="0"/>
              <w:snapToGrid w:val="0"/>
              <w:spacing w:line="600" w:lineRule="exact"/>
              <w:rPr>
                <w:rFonts w:eastAsia="仿宋_GB2312"/>
                <w:szCs w:val="21"/>
                <w:lang w:val="zh-CN"/>
              </w:rPr>
            </w:pPr>
            <w:r>
              <w:rPr>
                <w:szCs w:val="21"/>
                <w:lang w:val="zh-CN"/>
              </w:rPr>
              <w:t>20</w:t>
            </w:r>
          </w:p>
        </w:tc>
        <w:tc>
          <w:tcPr>
            <w:tcW w:w="2127" w:type="dxa"/>
            <w:tcBorders>
              <w:top w:val="single" w:color="auto" w:sz="4" w:space="0"/>
              <w:left w:val="single" w:color="auto" w:sz="4" w:space="0"/>
              <w:bottom w:val="single" w:color="auto" w:sz="4" w:space="0"/>
              <w:right w:val="single" w:color="auto" w:sz="4" w:space="0"/>
            </w:tcBorders>
          </w:tcPr>
          <w:p w14:paraId="5B768628">
            <w:pPr>
              <w:adjustRightInd w:val="0"/>
              <w:snapToGrid w:val="0"/>
              <w:spacing w:line="600" w:lineRule="exact"/>
              <w:rPr>
                <w:rFonts w:eastAsia="仿宋_GB2312"/>
                <w:szCs w:val="21"/>
                <w:lang w:val="zh-CN"/>
              </w:rPr>
            </w:pPr>
            <w:r>
              <w:rPr>
                <w:rFonts w:hint="eastAsia"/>
                <w:szCs w:val="21"/>
                <w:lang w:val="zh-CN"/>
              </w:rPr>
              <w:t>生态功能区转移支付</w:t>
            </w:r>
          </w:p>
        </w:tc>
      </w:tr>
      <w:tr w14:paraId="4C07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69F0F3F8">
            <w:pPr>
              <w:adjustRightInd w:val="0"/>
              <w:snapToGrid w:val="0"/>
              <w:spacing w:line="600" w:lineRule="exact"/>
              <w:rPr>
                <w:rFonts w:eastAsia="仿宋_GB2312"/>
                <w:szCs w:val="21"/>
                <w:lang w:val="zh-CN"/>
              </w:rPr>
            </w:pPr>
            <w:r>
              <w:rPr>
                <w:rFonts w:hint="eastAsia"/>
                <w:szCs w:val="21"/>
                <w:lang w:val="zh-CN"/>
              </w:rPr>
              <w:t>合计</w:t>
            </w:r>
          </w:p>
        </w:tc>
        <w:tc>
          <w:tcPr>
            <w:tcW w:w="4678" w:type="dxa"/>
            <w:tcBorders>
              <w:top w:val="single" w:color="auto" w:sz="4" w:space="0"/>
              <w:left w:val="single" w:color="auto" w:sz="4" w:space="0"/>
              <w:bottom w:val="single" w:color="auto" w:sz="4" w:space="0"/>
              <w:right w:val="single" w:color="auto" w:sz="4" w:space="0"/>
            </w:tcBorders>
          </w:tcPr>
          <w:p w14:paraId="55BD3F9C">
            <w:pPr>
              <w:adjustRightInd w:val="0"/>
              <w:snapToGrid w:val="0"/>
              <w:spacing w:line="600" w:lineRule="exact"/>
              <w:rPr>
                <w:rFonts w:eastAsia="仿宋_GB2312"/>
                <w:szCs w:val="21"/>
                <w:lang w:val="zh-CN"/>
              </w:rPr>
            </w:pPr>
          </w:p>
        </w:tc>
        <w:tc>
          <w:tcPr>
            <w:tcW w:w="1559" w:type="dxa"/>
            <w:tcBorders>
              <w:top w:val="single" w:color="auto" w:sz="4" w:space="0"/>
              <w:left w:val="single" w:color="auto" w:sz="4" w:space="0"/>
              <w:bottom w:val="single" w:color="auto" w:sz="4" w:space="0"/>
              <w:right w:val="single" w:color="auto" w:sz="4" w:space="0"/>
            </w:tcBorders>
          </w:tcPr>
          <w:p w14:paraId="3A5BDA99">
            <w:pPr>
              <w:adjustRightInd w:val="0"/>
              <w:snapToGrid w:val="0"/>
              <w:spacing w:line="600" w:lineRule="exact"/>
              <w:rPr>
                <w:rFonts w:eastAsia="仿宋_GB2312"/>
                <w:szCs w:val="21"/>
                <w:lang w:val="zh-CN"/>
              </w:rPr>
            </w:pPr>
            <w:r>
              <w:rPr>
                <w:szCs w:val="21"/>
                <w:lang w:val="zh-CN"/>
              </w:rPr>
              <w:t>100</w:t>
            </w:r>
          </w:p>
        </w:tc>
        <w:tc>
          <w:tcPr>
            <w:tcW w:w="2127" w:type="dxa"/>
            <w:tcBorders>
              <w:top w:val="single" w:color="auto" w:sz="4" w:space="0"/>
              <w:left w:val="single" w:color="auto" w:sz="4" w:space="0"/>
              <w:bottom w:val="single" w:color="auto" w:sz="4" w:space="0"/>
              <w:right w:val="single" w:color="auto" w:sz="4" w:space="0"/>
            </w:tcBorders>
          </w:tcPr>
          <w:p w14:paraId="3DDD2BE9">
            <w:pPr>
              <w:adjustRightInd w:val="0"/>
              <w:snapToGrid w:val="0"/>
              <w:spacing w:line="600" w:lineRule="exact"/>
              <w:rPr>
                <w:rFonts w:eastAsia="仿宋_GB2312"/>
                <w:szCs w:val="21"/>
                <w:lang w:val="zh-CN"/>
              </w:rPr>
            </w:pPr>
          </w:p>
        </w:tc>
      </w:tr>
    </w:tbl>
    <w:p w14:paraId="09D44413">
      <w:pPr>
        <w:adjustRightInd w:val="0"/>
        <w:snapToGrid w:val="0"/>
        <w:spacing w:line="600" w:lineRule="exact"/>
        <w:ind w:firstLine="720"/>
        <w:rPr>
          <w:rFonts w:eastAsia="仿宋_GB2312"/>
          <w:sz w:val="32"/>
          <w:szCs w:val="32"/>
          <w:lang w:val="zh-CN"/>
        </w:rPr>
      </w:pPr>
    </w:p>
    <w:p w14:paraId="295BBCAD">
      <w:pPr>
        <w:pStyle w:val="30"/>
        <w:numPr>
          <w:ilvl w:val="0"/>
          <w:numId w:val="3"/>
        </w:numPr>
        <w:adjustRightInd w:val="0"/>
        <w:snapToGrid w:val="0"/>
        <w:spacing w:line="600" w:lineRule="exact"/>
        <w:ind w:firstLineChars="0"/>
        <w:rPr>
          <w:rFonts w:eastAsia="楷体_GB2312"/>
          <w:sz w:val="32"/>
          <w:szCs w:val="32"/>
          <w:lang w:val="zh-CN"/>
        </w:rPr>
      </w:pPr>
      <w:r>
        <w:rPr>
          <w:rFonts w:eastAsia="楷体_GB2312"/>
          <w:sz w:val="32"/>
          <w:szCs w:val="32"/>
          <w:lang w:val="zh-CN"/>
        </w:rPr>
        <w:t>资金到位</w:t>
      </w:r>
    </w:p>
    <w:p w14:paraId="110E10E0">
      <w:p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项目资金于2024年7月20日足额到位，于2025年2月结转。</w:t>
      </w:r>
    </w:p>
    <w:p w14:paraId="26FE9272">
      <w:pPr>
        <w:adjustRightInd w:val="0"/>
        <w:snapToGrid w:val="0"/>
        <w:spacing w:line="600" w:lineRule="exact"/>
        <w:ind w:firstLine="720"/>
        <w:rPr>
          <w:rFonts w:eastAsia="楷体_GB2312"/>
          <w:sz w:val="32"/>
          <w:szCs w:val="32"/>
          <w:lang w:val="zh-CN"/>
        </w:rPr>
      </w:pPr>
      <w:r>
        <w:rPr>
          <w:rFonts w:eastAsia="楷体_GB2312"/>
          <w:sz w:val="32"/>
          <w:szCs w:val="32"/>
          <w:lang w:val="zh-CN"/>
        </w:rPr>
        <w:t>3．资金使用</w:t>
      </w:r>
    </w:p>
    <w:p w14:paraId="16398F17">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截至</w:t>
      </w:r>
      <w:r>
        <w:rPr>
          <w:rFonts w:eastAsia="仿宋_GB2312"/>
          <w:sz w:val="32"/>
          <w:szCs w:val="32"/>
          <w:lang w:val="zh-CN"/>
        </w:rPr>
        <w:t>2025</w:t>
      </w:r>
      <w:r>
        <w:rPr>
          <w:rFonts w:hint="eastAsia" w:eastAsia="仿宋_GB2312"/>
          <w:sz w:val="32"/>
          <w:szCs w:val="32"/>
          <w:lang w:val="zh-CN"/>
        </w:rPr>
        <w:t>年底，项目资金使用</w:t>
      </w:r>
      <w:r>
        <w:rPr>
          <w:rFonts w:eastAsia="仿宋_GB2312"/>
          <w:sz w:val="32"/>
          <w:szCs w:val="32"/>
          <w:lang w:val="zh-CN"/>
        </w:rPr>
        <w:t>99.17</w:t>
      </w:r>
      <w:r>
        <w:rPr>
          <w:rFonts w:hint="eastAsia" w:eastAsia="仿宋_GB2312"/>
          <w:sz w:val="32"/>
          <w:szCs w:val="32"/>
          <w:lang w:val="zh-CN"/>
        </w:rPr>
        <w:t>万元，资金使用率</w:t>
      </w:r>
      <w:r>
        <w:rPr>
          <w:rFonts w:eastAsia="仿宋_GB2312"/>
          <w:sz w:val="32"/>
          <w:szCs w:val="32"/>
          <w:lang w:val="zh-CN"/>
        </w:rPr>
        <w:t>99.17%</w:t>
      </w:r>
      <w:r>
        <w:rPr>
          <w:rFonts w:hint="eastAsia" w:eastAsia="仿宋_GB2312"/>
          <w:sz w:val="32"/>
          <w:szCs w:val="32"/>
          <w:lang w:val="zh-CN"/>
        </w:rPr>
        <w:t>。资金使用安全、规范及有效，资金支付的范围严格围绕项目的实施方案进行，没有发现超范围支出；资金支付标准合理，支付进度较及时，支付依据合规合法，符合预算。</w:t>
      </w:r>
    </w:p>
    <w:p w14:paraId="45120535">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785A54AD">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本项目资金在使用过程中，严格按照国家、省、市相关资金的使用要求进行开支，每一笔开支均实行三级监管（项目组—财务—分管副院长），物资采购严格按照攀枝花市农林院《攀枝花市农林科学研究院非政府采购类项目采购管理办法》进行审批，项目经费根据实际情况进行了预算科目的调整，手续完整、程序合规。综上所述，项目资金的使用安全、规范、有效，资金支付范围、支付标准、支付进度、支付依据等合规合法。</w:t>
      </w:r>
    </w:p>
    <w:p w14:paraId="58FF683B">
      <w:pPr>
        <w:adjustRightInd w:val="0"/>
        <w:snapToGrid w:val="0"/>
        <w:spacing w:line="600" w:lineRule="exact"/>
        <w:ind w:firstLine="720"/>
        <w:rPr>
          <w:rFonts w:eastAsia="黑体"/>
          <w:sz w:val="32"/>
          <w:szCs w:val="32"/>
        </w:rPr>
      </w:pPr>
      <w:r>
        <w:rPr>
          <w:rFonts w:eastAsia="黑体"/>
          <w:sz w:val="32"/>
          <w:szCs w:val="32"/>
        </w:rPr>
        <w:t>三、项目实施及管理情况</w:t>
      </w:r>
    </w:p>
    <w:p w14:paraId="2B798939">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（一）项目组织架构及实施流程。</w:t>
      </w:r>
    </w:p>
    <w:p w14:paraId="5EA6421B">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本项目实行项目负责人制，项目负责人在组建项目组后，项目组根据目标任务制定项目实施方案，项目严格按照实施方案进行。</w:t>
      </w:r>
    </w:p>
    <w:p w14:paraId="3802A01F">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（二）项目管理情况。</w:t>
      </w:r>
    </w:p>
    <w:p w14:paraId="31C2790F">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本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院财务室负责对项目经费开支情况进行审核。</w:t>
      </w:r>
    </w:p>
    <w:p w14:paraId="17072B18">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（三）项目监管情况。</w:t>
      </w:r>
    </w:p>
    <w:p w14:paraId="04A6CEEA">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院学术委员会负责对项目实施情况进行抽查；项目承担单位科技管理科对项目申报、实施、验收等进行全程监督和管理。本项目自实施以来，每个环节均有严格的制度办法规范工作，并在严格的监督下开展，未出现工作失误等情况。</w:t>
      </w:r>
      <w:r>
        <w:rPr>
          <w:rFonts w:eastAsia="黑体"/>
          <w:sz w:val="32"/>
          <w:szCs w:val="32"/>
        </w:rPr>
        <w:t>四、项目绩效情况</w:t>
      </w:r>
      <w:r>
        <w:rPr>
          <w:rFonts w:eastAsia="仿宋_GB2312"/>
          <w:sz w:val="32"/>
          <w:szCs w:val="32"/>
          <w:lang w:val="zh-CN"/>
        </w:rPr>
        <w:tab/>
      </w:r>
    </w:p>
    <w:p w14:paraId="2250CF34">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14:paraId="001D42FB">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1）建成30亩川产道地药材续断林地种植示范基地，经过林地川续断种植技术示范，林地种植的川续断肉质根干品产量在500～650公斤/亩，较基地建设前及对照亩产不足270公斤增产率为85%～140%。推广林地川续断种植面积超过1000亩；辐射带动林地花魔芋种植面积30亩；开展林地川续断和花魔芋种植技术培训共13期312人次。</w:t>
      </w:r>
    </w:p>
    <w:p w14:paraId="75F53699">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（2）取样品86个，鉴定出线虫种类6种，明确了松树枯死原因，形成松树线虫防控技术一套终稿，编写危害云南油杉的1种尺蠖的不同虫态原色图谱资料一套终稿，筛选2种效果好的药剂，生活史和发生规律终稿。</w:t>
      </w:r>
    </w:p>
    <w:p w14:paraId="6B35AFA4">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（3）确定了项目实施的区域试验点5个和生产试验点3个，以及拟申报的核桃良种3个，起草核桃标准6项。</w:t>
      </w:r>
    </w:p>
    <w:p w14:paraId="582C150F">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4）培育板栗、美国山核桃等无菌苗7000株，抽检接种后9个月的菌根苗，5000株以上的菌根苗菌根平均感染率为92.05%；通过选地，土壤测量，改土整地在啊喇乡新建以板栗和美国山核桃为宿主植物的块菌基地30亩，通过半年的管理调查，菌根苗成活率高于95%，幼苗长势良好。通过项目的实施，创新集成块菌生态培育技术1套，编写块菌栽培管理技术手册1册。</w:t>
      </w:r>
    </w:p>
    <w:p w14:paraId="1EAD8D3C">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5）建设活血丹种植示范基地2个，种植大户2户，其中：永兴镇种植活血丹5-10亩，温泉乡活血丹种植30亩以上，发展白地榆种植面积1-2亩；举办活血丹种子繁殖、扦插繁殖关键技术、药材综合利用等配套技术服务和技术培训3期以上；项目结束时示范区具备年种植100亩以上的规模；配套标准化活血丹种植设施设备、配套种植技术（方案）一套。</w:t>
      </w:r>
    </w:p>
    <w:p w14:paraId="5F484300">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14:paraId="17DB9E24">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为深入贯彻习近平总书记关于生态文明建设的思想，“树立大食物观”，森林是“粮库”“加强国家生物安全风险防控和治理体系建设，提高国家生物安全治理能力，切实筑牢国家生物安全屏障”等重要论述，以及省委、省政府“天府森林粮库”和“攀枝花共富区”建设的重大战略部署。以推进我市林业产业、扩大林下经济产业发展规模，持续优化林下经济产业布局，不断增加林下产品有效供给，同时加强生态建设和生物安全为目的。根据产业发展需求，开展块菌生态培育技术集成与示范、中高山地区林地综合效益提升示范、林业主要有害生物防控技术研究、核桃优良品种选育研究。组建专家人才队伍，通过培养特色种植业、选育良种、监测防控林业检疫性有害生物松材线虫等，提升林地综合效益，贯彻落实省委、省政府“天府森林粮库”和“攀枝花共富区”建设的重大战略部署，推动乡村振兴产业发展提供科技支撑。</w:t>
      </w:r>
    </w:p>
    <w:p w14:paraId="050B3A84">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项目成果实现林业产业增产增收、恢复种植信心、维持社会稳定具有重要的意义，具有较高的经济效益和社会效益，项目的实施将不断提升产业发展，具有可持续性，群众满意度高，项目的实施更是落实国家“绿水青山就是金山银山”的发展战略，具有公共性，属于公共财政支持范围，筹资渠道符合法律法规规定，筹资结构合理，资金来源渠道明确，资金到位时间、条件能够落实。</w:t>
      </w:r>
    </w:p>
    <w:p w14:paraId="6DA8E2A7">
      <w:pPr>
        <w:adjustRightInd w:val="0"/>
        <w:snapToGrid w:val="0"/>
        <w:spacing w:line="600" w:lineRule="exact"/>
        <w:ind w:firstLine="720"/>
        <w:rPr>
          <w:rFonts w:eastAsia="黑体"/>
          <w:sz w:val="32"/>
          <w:szCs w:val="32"/>
        </w:rPr>
      </w:pPr>
      <w:r>
        <w:rPr>
          <w:rFonts w:eastAsia="黑体"/>
          <w:sz w:val="32"/>
          <w:szCs w:val="32"/>
        </w:rPr>
        <w:t>五、评价结论及建议</w:t>
      </w:r>
    </w:p>
    <w:p w14:paraId="6A150778">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3137210A">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本项目根据绩效目标，制定详细的实施方案；单位学术委员会以及科技科对项目全程进行监督检查，组织验收等；具有健全的财务制度，财务科对项目经费的支出进行审核；项目立项依据充分，符合国家、省、市相关政策；详细的产出和效果能满足需求。评价得分：</w:t>
      </w:r>
      <w:r>
        <w:rPr>
          <w:rFonts w:eastAsia="仿宋_GB2312"/>
          <w:sz w:val="32"/>
          <w:szCs w:val="32"/>
          <w:lang w:val="zh-CN"/>
        </w:rPr>
        <w:t>100</w:t>
      </w:r>
      <w:r>
        <w:rPr>
          <w:rFonts w:hint="eastAsia" w:eastAsia="仿宋_GB2312"/>
          <w:sz w:val="32"/>
          <w:szCs w:val="32"/>
          <w:lang w:val="zh-CN"/>
        </w:rPr>
        <w:t>分。</w:t>
      </w:r>
    </w:p>
    <w:p w14:paraId="74AC8FB3">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3C203962">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（1）项目周期较长</w:t>
      </w:r>
    </w:p>
    <w:p w14:paraId="5A7D2917">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由于受项目研究对象的生物生态学特性影响，有些研究内容需要跨年完成，所需时间较长。</w:t>
      </w:r>
    </w:p>
    <w:p w14:paraId="1CB3C69D">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（2）项目标准未能发布</w:t>
      </w:r>
    </w:p>
    <w:p w14:paraId="33ECB68B">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根据国家、省、市相关政策，同类标准发布较多，项目组编制的标准特殊性和新颖性不足，因此未能发布。</w:t>
      </w:r>
    </w:p>
    <w:p w14:paraId="31C3F3F3">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1F09F3D7">
      <w:pPr>
        <w:spacing w:line="578" w:lineRule="exact"/>
        <w:ind w:firstLine="640"/>
        <w:rPr>
          <w:rFonts w:eastAsia="仿宋_GB2312" w:cs="仿宋_GB2312"/>
          <w:kern w:val="0"/>
          <w:sz w:val="32"/>
          <w:szCs w:val="32"/>
        </w:rPr>
      </w:pPr>
      <w:r>
        <w:rPr>
          <w:rFonts w:hint="eastAsia" w:eastAsia="仿宋_GB2312" w:cs="仿宋_GB2312"/>
          <w:kern w:val="0"/>
          <w:sz w:val="32"/>
          <w:szCs w:val="32"/>
        </w:rPr>
        <w:t>建议出台相关政策，保障项目资金开展一些长期性研究。</w:t>
      </w:r>
    </w:p>
    <w:p w14:paraId="36D0E404">
      <w:pPr>
        <w:pStyle w:val="37"/>
        <w:spacing w:line="600" w:lineRule="exact"/>
        <w:ind w:left="420"/>
        <w:jc w:val="center"/>
        <w:rPr>
          <w:rFonts w:hint="eastAsia" w:eastAsia="方正小标宋简体"/>
          <w:sz w:val="40"/>
          <w:szCs w:val="40"/>
        </w:rPr>
      </w:pPr>
    </w:p>
    <w:p w14:paraId="21F815E1">
      <w:pPr>
        <w:pStyle w:val="37"/>
        <w:spacing w:line="600" w:lineRule="exact"/>
        <w:ind w:left="420"/>
        <w:jc w:val="center"/>
        <w:rPr>
          <w:rFonts w:hint="eastAsia" w:eastAsia="方正小标宋简体"/>
          <w:sz w:val="40"/>
          <w:szCs w:val="40"/>
        </w:rPr>
      </w:pPr>
    </w:p>
    <w:p w14:paraId="5D422DBA">
      <w:pPr>
        <w:pStyle w:val="37"/>
        <w:spacing w:line="600" w:lineRule="exact"/>
        <w:ind w:left="420"/>
        <w:jc w:val="center"/>
        <w:rPr>
          <w:rFonts w:hint="eastAsia" w:eastAsia="方正小标宋简体"/>
          <w:sz w:val="40"/>
          <w:szCs w:val="40"/>
        </w:rPr>
      </w:pPr>
    </w:p>
    <w:p w14:paraId="54CC2A6D">
      <w:pPr>
        <w:pStyle w:val="37"/>
        <w:spacing w:line="600" w:lineRule="exact"/>
        <w:ind w:left="420"/>
        <w:jc w:val="center"/>
        <w:rPr>
          <w:rFonts w:hint="eastAsia" w:eastAsia="方正小标宋简体"/>
          <w:sz w:val="40"/>
          <w:szCs w:val="40"/>
        </w:rPr>
      </w:pPr>
    </w:p>
    <w:p w14:paraId="6C0BC4CB">
      <w:pPr>
        <w:pStyle w:val="37"/>
        <w:spacing w:line="600" w:lineRule="exact"/>
        <w:rPr>
          <w:rFonts w:hint="eastAsia" w:eastAsia="方正小标宋简体"/>
          <w:sz w:val="40"/>
          <w:szCs w:val="40"/>
        </w:rPr>
      </w:pPr>
      <w:r>
        <w:rPr>
          <w:rFonts w:hint="eastAsia" w:eastAsia="方正小标宋简体"/>
          <w:sz w:val="40"/>
          <w:szCs w:val="40"/>
        </w:rPr>
        <w:br w:type="page"/>
      </w:r>
    </w:p>
    <w:p w14:paraId="07F3EC33">
      <w:pPr>
        <w:pStyle w:val="37"/>
        <w:spacing w:line="600" w:lineRule="exact"/>
        <w:ind w:left="420"/>
        <w:jc w:val="center"/>
        <w:rPr>
          <w:rFonts w:hint="eastAsia" w:eastAsia="方正小标宋简体"/>
          <w:sz w:val="40"/>
          <w:szCs w:val="40"/>
        </w:rPr>
      </w:pPr>
      <w:r>
        <w:rPr>
          <w:rFonts w:eastAsia="方正小标宋简体"/>
          <w:sz w:val="40"/>
          <w:szCs w:val="40"/>
        </w:rPr>
        <w:t>专项预算项目支出绩效自评报告</w:t>
      </w:r>
    </w:p>
    <w:p w14:paraId="534DB84F">
      <w:pPr>
        <w:pStyle w:val="37"/>
        <w:spacing w:line="600" w:lineRule="exact"/>
        <w:ind w:left="420"/>
        <w:jc w:val="center"/>
        <w:rPr>
          <w:rFonts w:hint="eastAsia" w:eastAsia="方正小标宋简体"/>
          <w:sz w:val="40"/>
          <w:szCs w:val="40"/>
        </w:rPr>
      </w:pPr>
      <w:r>
        <w:rPr>
          <w:rFonts w:eastAsia="方正小标宋简体"/>
          <w:sz w:val="40"/>
          <w:szCs w:val="40"/>
        </w:rPr>
        <w:t>乡村振兴五年行动专项</w:t>
      </w:r>
      <w:r>
        <w:rPr>
          <w:rFonts w:hint="eastAsia" w:eastAsia="方正小标宋简体"/>
          <w:sz w:val="40"/>
          <w:szCs w:val="40"/>
        </w:rPr>
        <w:t>——</w:t>
      </w:r>
      <w:r>
        <w:rPr>
          <w:rFonts w:eastAsia="方正小标宋简体"/>
          <w:sz w:val="40"/>
          <w:szCs w:val="40"/>
        </w:rPr>
        <w:t>科技下乡万里行</w:t>
      </w:r>
    </w:p>
    <w:p w14:paraId="466A3E30">
      <w:pPr>
        <w:spacing w:line="578" w:lineRule="exact"/>
        <w:ind w:firstLine="640"/>
        <w:rPr>
          <w:rFonts w:eastAsia="仿宋_GB2312" w:cs="仿宋_GB2312"/>
          <w:kern w:val="0"/>
          <w:sz w:val="32"/>
          <w:szCs w:val="32"/>
        </w:rPr>
      </w:pPr>
    </w:p>
    <w:p w14:paraId="06141567">
      <w:pPr>
        <w:adjustRightInd w:val="0"/>
        <w:snapToGrid w:val="0"/>
        <w:spacing w:line="600" w:lineRule="exact"/>
        <w:ind w:firstLine="720"/>
        <w:rPr>
          <w:rFonts w:eastAsia="黑体"/>
          <w:sz w:val="32"/>
          <w:szCs w:val="32"/>
        </w:rPr>
      </w:pPr>
      <w:r>
        <w:rPr>
          <w:rFonts w:eastAsia="黑体"/>
          <w:sz w:val="32"/>
          <w:szCs w:val="32"/>
        </w:rPr>
        <w:t>一、项目概况</w:t>
      </w:r>
    </w:p>
    <w:p w14:paraId="62DF763E">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72426822">
      <w:pPr>
        <w:spacing w:line="578" w:lineRule="exact"/>
        <w:ind w:firstLine="640"/>
        <w:rPr>
          <w:rFonts w:eastAsia="仿宋_GB2312" w:cs="仿宋_GB2312"/>
          <w:kern w:val="0"/>
          <w:sz w:val="32"/>
          <w:szCs w:val="32"/>
        </w:rPr>
      </w:pPr>
      <w:r>
        <w:rPr>
          <w:rFonts w:hint="eastAsia" w:eastAsia="仿宋_GB2312" w:cs="仿宋_GB2312"/>
          <w:kern w:val="0"/>
          <w:sz w:val="32"/>
          <w:szCs w:val="32"/>
        </w:rPr>
        <w:t>1.设立背景</w:t>
      </w:r>
    </w:p>
    <w:p w14:paraId="1EB9C787">
      <w:pPr>
        <w:spacing w:line="578" w:lineRule="exact"/>
        <w:ind w:firstLine="640"/>
        <w:rPr>
          <w:rFonts w:eastAsia="仿宋_GB2312" w:cs="仿宋_GB2312"/>
          <w:kern w:val="0"/>
          <w:sz w:val="32"/>
          <w:szCs w:val="32"/>
        </w:rPr>
      </w:pPr>
      <w:r>
        <w:rPr>
          <w:rFonts w:hint="eastAsia" w:eastAsia="仿宋_GB2312" w:cs="仿宋_GB2312"/>
          <w:kern w:val="0"/>
          <w:sz w:val="32"/>
          <w:szCs w:val="32"/>
        </w:rPr>
        <w:t>蔬菜和芒果产业是攀枝花农业的主导产业。根据中央和省委关于乡村振兴的决策部署，围绕特色产业组建省市专家服务团，通过技术帮扶培养农村实用人才队伍，增强乡村振兴内生动力。项目资金来源为省级财政乡村振兴补助资金24万元。</w:t>
      </w:r>
    </w:p>
    <w:p w14:paraId="731D5BA0">
      <w:pPr>
        <w:spacing w:line="578" w:lineRule="exact"/>
        <w:ind w:firstLine="640"/>
        <w:rPr>
          <w:rFonts w:eastAsia="仿宋_GB2312" w:cs="仿宋_GB2312"/>
          <w:kern w:val="0"/>
          <w:sz w:val="32"/>
          <w:szCs w:val="32"/>
        </w:rPr>
      </w:pPr>
      <w:r>
        <w:rPr>
          <w:rFonts w:hint="eastAsia" w:eastAsia="仿宋_GB2312" w:cs="仿宋_GB2312"/>
          <w:kern w:val="0"/>
          <w:sz w:val="32"/>
          <w:szCs w:val="32"/>
        </w:rPr>
        <w:t>2.主管部门职能</w:t>
      </w:r>
    </w:p>
    <w:p w14:paraId="39DEEF34">
      <w:pPr>
        <w:spacing w:line="578" w:lineRule="exact"/>
        <w:ind w:firstLine="640"/>
        <w:rPr>
          <w:rFonts w:eastAsia="仿宋_GB2312" w:cs="仿宋_GB2312"/>
          <w:kern w:val="0"/>
          <w:sz w:val="32"/>
          <w:szCs w:val="32"/>
        </w:rPr>
      </w:pPr>
      <w:r>
        <w:rPr>
          <w:rFonts w:hint="eastAsia" w:eastAsia="仿宋_GB2312" w:cs="仿宋_GB2312"/>
          <w:kern w:val="0"/>
          <w:sz w:val="32"/>
          <w:szCs w:val="32"/>
        </w:rPr>
        <w:t>省农业农村厅负责统筹规划、组织协调与监督，攀枝花市农林科学研究院作为承担单位，负责专家团队管理、技术推广及资金使用。</w:t>
      </w:r>
    </w:p>
    <w:p w14:paraId="0DA36A02">
      <w:pPr>
        <w:spacing w:line="578" w:lineRule="exact"/>
        <w:ind w:firstLine="640"/>
        <w:rPr>
          <w:rFonts w:eastAsia="仿宋_GB2312" w:cs="仿宋_GB2312"/>
          <w:kern w:val="0"/>
          <w:sz w:val="32"/>
          <w:szCs w:val="32"/>
        </w:rPr>
      </w:pPr>
      <w:r>
        <w:rPr>
          <w:rFonts w:hint="eastAsia" w:eastAsia="仿宋_GB2312" w:cs="仿宋_GB2312"/>
          <w:kern w:val="0"/>
          <w:sz w:val="32"/>
          <w:szCs w:val="32"/>
        </w:rPr>
        <w:t>3.立项依据</w:t>
      </w:r>
    </w:p>
    <w:p w14:paraId="015C6FBB">
      <w:pPr>
        <w:spacing w:line="578" w:lineRule="exact"/>
        <w:ind w:firstLine="640"/>
        <w:rPr>
          <w:rFonts w:eastAsia="仿宋_GB2312" w:cs="仿宋_GB2312"/>
          <w:kern w:val="0"/>
          <w:sz w:val="32"/>
          <w:szCs w:val="32"/>
        </w:rPr>
      </w:pPr>
      <w:r>
        <w:rPr>
          <w:rFonts w:hint="eastAsia" w:eastAsia="仿宋_GB2312" w:cs="仿宋_GB2312"/>
          <w:kern w:val="0"/>
          <w:sz w:val="32"/>
          <w:szCs w:val="32"/>
        </w:rPr>
        <w:t>依据《关于做好2024年科技下乡万里行活动有关事项的通知》（川组通</w:t>
      </w:r>
      <w:r>
        <w:rPr>
          <w:rFonts w:hint="eastAsia" w:ascii="宋体" w:hAnsi="宋体" w:cs="宋体"/>
          <w:kern w:val="0"/>
          <w:sz w:val="32"/>
          <w:szCs w:val="32"/>
        </w:rPr>
        <w:t>﹝</w:t>
      </w:r>
      <w:r>
        <w:rPr>
          <w:rFonts w:hint="eastAsia" w:eastAsia="仿宋_GB2312" w:cs="仿宋_GB2312"/>
          <w:kern w:val="0"/>
          <w:sz w:val="32"/>
          <w:szCs w:val="32"/>
        </w:rPr>
        <w:t>2024</w:t>
      </w:r>
      <w:r>
        <w:rPr>
          <w:rFonts w:hint="eastAsia" w:ascii="宋体" w:hAnsi="宋体" w:cs="宋体"/>
          <w:kern w:val="0"/>
          <w:sz w:val="32"/>
          <w:szCs w:val="32"/>
        </w:rPr>
        <w:t>﹞</w:t>
      </w:r>
      <w:r>
        <w:rPr>
          <w:rFonts w:hint="eastAsia" w:eastAsia="仿宋_GB2312" w:cs="仿宋_GB2312"/>
          <w:kern w:val="0"/>
          <w:sz w:val="32"/>
          <w:szCs w:val="32"/>
        </w:rPr>
        <w:t>25号）等文件要求，聚焦芒果产业技术推广与人才建设。</w:t>
      </w:r>
    </w:p>
    <w:p w14:paraId="64FE59D7">
      <w:pPr>
        <w:spacing w:line="578" w:lineRule="exact"/>
        <w:ind w:firstLine="640"/>
        <w:rPr>
          <w:rFonts w:eastAsia="仿宋_GB2312" w:cs="仿宋_GB2312"/>
          <w:b/>
          <w:kern w:val="0"/>
          <w:sz w:val="32"/>
          <w:szCs w:val="32"/>
        </w:rPr>
      </w:pPr>
      <w:r>
        <w:rPr>
          <w:rFonts w:eastAsia="楷体_GB2312"/>
          <w:b/>
          <w:sz w:val="32"/>
          <w:szCs w:val="32"/>
          <w:lang w:val="zh-CN"/>
        </w:rPr>
        <w:t>（二）项目绩效目标。</w:t>
      </w:r>
    </w:p>
    <w:p w14:paraId="364AADB6">
      <w:pPr>
        <w:spacing w:line="578" w:lineRule="exact"/>
        <w:ind w:firstLine="640"/>
        <w:rPr>
          <w:rFonts w:eastAsia="仿宋_GB2312" w:cs="仿宋_GB2312"/>
          <w:b/>
          <w:kern w:val="0"/>
          <w:sz w:val="32"/>
          <w:szCs w:val="32"/>
        </w:rPr>
      </w:pPr>
      <w:r>
        <w:rPr>
          <w:rFonts w:eastAsia="仿宋_GB2312" w:cs="仿宋_GB2312"/>
          <w:b/>
          <w:kern w:val="0"/>
          <w:sz w:val="32"/>
          <w:szCs w:val="32"/>
        </w:rPr>
        <w:t>1. 项目主要内容。</w:t>
      </w:r>
      <w:r>
        <w:rPr>
          <w:rFonts w:hint="eastAsia" w:eastAsia="仿宋_GB2312" w:cs="仿宋_GB2312"/>
          <w:kern w:val="0"/>
          <w:sz w:val="32"/>
          <w:szCs w:val="32"/>
        </w:rPr>
        <w:t>组建蔬菜、芒果2个专家服务团（共10人）；开展技术培训、田间指导、应急响应服务；建立示范基地推广新品种新技术；培育技术骨干、示范户及乡土人才。</w:t>
      </w:r>
    </w:p>
    <w:p w14:paraId="16959FD0">
      <w:pPr>
        <w:spacing w:line="578" w:lineRule="exact"/>
        <w:ind w:firstLine="640"/>
        <w:rPr>
          <w:rFonts w:eastAsia="仿宋_GB2312" w:cs="仿宋_GB2312"/>
          <w:b/>
          <w:kern w:val="0"/>
          <w:sz w:val="32"/>
          <w:szCs w:val="32"/>
        </w:rPr>
      </w:pPr>
      <w:r>
        <w:rPr>
          <w:rFonts w:eastAsia="仿宋_GB2312" w:cs="仿宋_GB2312"/>
          <w:b/>
          <w:kern w:val="0"/>
          <w:sz w:val="32"/>
          <w:szCs w:val="32"/>
        </w:rPr>
        <w:t>2. 项目应实现的具体绩效目标。</w:t>
      </w:r>
      <w:r>
        <w:rPr>
          <w:rFonts w:hint="eastAsia" w:eastAsia="仿宋_GB2312" w:cs="仿宋_GB2312"/>
          <w:kern w:val="0"/>
          <w:sz w:val="32"/>
          <w:szCs w:val="32"/>
        </w:rPr>
        <w:t>提升科技支撑能力和产业发展水平；培养本土人才；为主管部门提供咨询服务；促进农民持续增收，稳定脱贫攻坚成果。</w:t>
      </w:r>
    </w:p>
    <w:p w14:paraId="3AE96079">
      <w:pPr>
        <w:spacing w:line="578" w:lineRule="exact"/>
        <w:ind w:firstLine="640"/>
        <w:rPr>
          <w:rFonts w:eastAsia="仿宋_GB2312" w:cs="仿宋_GB2312"/>
          <w:kern w:val="0"/>
          <w:sz w:val="32"/>
          <w:szCs w:val="32"/>
        </w:rPr>
      </w:pPr>
      <w:r>
        <w:rPr>
          <w:rFonts w:hint="eastAsia" w:eastAsia="仿宋_GB2312" w:cs="仿宋_GB2312"/>
          <w:kern w:val="0"/>
          <w:sz w:val="32"/>
          <w:szCs w:val="32"/>
        </w:rPr>
        <w:t>主要工作任务：</w:t>
      </w:r>
    </w:p>
    <w:p w14:paraId="50EF7DC6">
      <w:pPr>
        <w:spacing w:line="578" w:lineRule="exact"/>
        <w:ind w:firstLine="640"/>
        <w:rPr>
          <w:rFonts w:eastAsia="仿宋_GB2312" w:cs="仿宋_GB2312"/>
          <w:kern w:val="0"/>
          <w:sz w:val="32"/>
          <w:szCs w:val="32"/>
        </w:rPr>
      </w:pPr>
      <w:r>
        <w:rPr>
          <w:rFonts w:hint="eastAsia" w:eastAsia="仿宋_GB2312" w:cs="仿宋_GB2312"/>
          <w:kern w:val="0"/>
          <w:sz w:val="32"/>
          <w:szCs w:val="32"/>
        </w:rPr>
        <w:t>（1）制定专家服务团工作方案，细化分解帮扶任务。</w:t>
      </w:r>
    </w:p>
    <w:p w14:paraId="1FD4BE9E">
      <w:pPr>
        <w:spacing w:line="578" w:lineRule="exact"/>
        <w:ind w:firstLine="640"/>
        <w:rPr>
          <w:rFonts w:eastAsia="仿宋_GB2312" w:cs="仿宋_GB2312"/>
          <w:kern w:val="0"/>
          <w:sz w:val="32"/>
          <w:szCs w:val="32"/>
        </w:rPr>
      </w:pPr>
      <w:r>
        <w:rPr>
          <w:rFonts w:hint="eastAsia" w:eastAsia="仿宋_GB2312" w:cs="仿宋_GB2312"/>
          <w:kern w:val="0"/>
          <w:sz w:val="32"/>
          <w:szCs w:val="32"/>
        </w:rPr>
        <w:t>（2）专家服务团每名成员在受援地服务不少于30天。</w:t>
      </w:r>
    </w:p>
    <w:p w14:paraId="71A6E960">
      <w:pPr>
        <w:spacing w:line="578" w:lineRule="exact"/>
        <w:ind w:firstLine="640"/>
        <w:rPr>
          <w:rFonts w:eastAsia="仿宋_GB2312" w:cs="仿宋_GB2312"/>
          <w:kern w:val="0"/>
          <w:sz w:val="32"/>
          <w:szCs w:val="32"/>
        </w:rPr>
      </w:pPr>
      <w:r>
        <w:rPr>
          <w:rFonts w:hint="eastAsia" w:eastAsia="仿宋_GB2312" w:cs="仿宋_GB2312"/>
          <w:kern w:val="0"/>
          <w:sz w:val="32"/>
          <w:szCs w:val="32"/>
        </w:rPr>
        <w:t>（3）为受援地提供高质量调研报告1篇。</w:t>
      </w:r>
    </w:p>
    <w:p w14:paraId="1FACADCF">
      <w:pPr>
        <w:spacing w:line="578" w:lineRule="exact"/>
        <w:ind w:firstLine="640"/>
        <w:rPr>
          <w:rFonts w:eastAsia="仿宋_GB2312" w:cs="仿宋_GB2312"/>
          <w:kern w:val="0"/>
          <w:sz w:val="32"/>
          <w:szCs w:val="32"/>
        </w:rPr>
      </w:pPr>
      <w:r>
        <w:rPr>
          <w:rFonts w:hint="eastAsia" w:eastAsia="仿宋_GB2312" w:cs="仿宋_GB2312"/>
          <w:kern w:val="0"/>
          <w:sz w:val="32"/>
          <w:szCs w:val="32"/>
        </w:rPr>
        <w:t>（4）每年在受援地主导产业乡镇举办技术培训指导不少于1次，培养农村实用技术骨干人才不少于5名，科技示范户不少于3户，在受援地主导产业村培养农村实用技术骨干人才不少于1名。</w:t>
      </w:r>
    </w:p>
    <w:p w14:paraId="1E6D2735">
      <w:pPr>
        <w:spacing w:line="578" w:lineRule="exact"/>
        <w:ind w:firstLine="640"/>
        <w:rPr>
          <w:rFonts w:eastAsia="仿宋_GB2312" w:cs="仿宋_GB2312"/>
          <w:kern w:val="0"/>
          <w:sz w:val="32"/>
          <w:szCs w:val="32"/>
        </w:rPr>
      </w:pPr>
      <w:r>
        <w:rPr>
          <w:rFonts w:hint="eastAsia" w:eastAsia="仿宋_GB2312" w:cs="仿宋_GB2312"/>
          <w:kern w:val="0"/>
          <w:sz w:val="32"/>
          <w:szCs w:val="32"/>
        </w:rPr>
        <w:t>（5）指导受援地建立试验示范基地，示范推广新品种新技术、新模式3-5个（项）</w:t>
      </w:r>
      <w:r>
        <w:rPr>
          <w:rFonts w:eastAsia="仿宋_GB2312" w:cs="仿宋_GB2312"/>
          <w:kern w:val="0"/>
          <w:sz w:val="32"/>
          <w:szCs w:val="32"/>
        </w:rPr>
        <w:t>。</w:t>
      </w:r>
    </w:p>
    <w:p w14:paraId="50F3D70D">
      <w:pPr>
        <w:spacing w:line="578" w:lineRule="exact"/>
        <w:ind w:firstLine="640"/>
        <w:rPr>
          <w:rFonts w:eastAsia="仿宋_GB2312" w:cs="仿宋_GB2312"/>
          <w:b/>
          <w:kern w:val="0"/>
          <w:sz w:val="32"/>
          <w:szCs w:val="32"/>
        </w:rPr>
      </w:pPr>
      <w:r>
        <w:rPr>
          <w:rFonts w:eastAsia="仿宋_GB2312" w:cs="仿宋_GB2312"/>
          <w:b/>
          <w:kern w:val="0"/>
          <w:sz w:val="32"/>
          <w:szCs w:val="32"/>
        </w:rPr>
        <w:t>3. 申报内容与实际相符，申报目标合理可行。</w:t>
      </w:r>
    </w:p>
    <w:p w14:paraId="36F67058">
      <w:pPr>
        <w:spacing w:line="578" w:lineRule="exact"/>
        <w:ind w:firstLine="640"/>
        <w:rPr>
          <w:rFonts w:eastAsia="楷体_GB2312"/>
          <w:b/>
          <w:sz w:val="32"/>
          <w:szCs w:val="32"/>
          <w:lang w:val="zh-CN"/>
        </w:rPr>
      </w:pPr>
      <w:r>
        <w:rPr>
          <w:rFonts w:eastAsia="楷体_GB2312"/>
          <w:b/>
          <w:sz w:val="32"/>
          <w:szCs w:val="32"/>
          <w:lang w:val="zh-CN"/>
        </w:rPr>
        <w:t>（三）项目自评步骤及方法。</w:t>
      </w:r>
    </w:p>
    <w:p w14:paraId="2DB7B5AE">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项目绩效自评采用的组织实施步骤及方法：根据项目情况和评价重点，采用案卷研究法、单位自评法、实地勘察法等多种方法。</w:t>
      </w:r>
    </w:p>
    <w:p w14:paraId="779507E9">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6E2B6E3B">
      <w:pPr>
        <w:spacing w:line="578" w:lineRule="exact"/>
        <w:ind w:firstLine="640"/>
        <w:rPr>
          <w:rFonts w:eastAsia="楷体_GB2312"/>
          <w:b/>
          <w:sz w:val="32"/>
          <w:szCs w:val="32"/>
          <w:lang w:val="zh-CN"/>
        </w:rPr>
      </w:pPr>
      <w:r>
        <w:rPr>
          <w:rFonts w:eastAsia="楷体_GB2312"/>
          <w:b/>
          <w:sz w:val="32"/>
          <w:szCs w:val="32"/>
          <w:lang w:val="zh-CN"/>
        </w:rPr>
        <w:t>（一）项目资金申报及批复情况。</w:t>
      </w:r>
    </w:p>
    <w:p w14:paraId="1DBC2FB4">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扶贫资金的使用要求进行开支，每一笔开支均实行三级监管（项目组—财务—分管副院长），物资采购严格按照攀枝花市农林院《全院非政府采购类项目的采购管理暂行办法》（攀农林[2021]26号文）进行审批，项目经费手续完整、程序合规。</w:t>
      </w:r>
    </w:p>
    <w:p w14:paraId="5F6F0C5D">
      <w:pPr>
        <w:spacing w:line="578" w:lineRule="exact"/>
        <w:ind w:firstLine="640"/>
        <w:rPr>
          <w:rFonts w:eastAsia="楷体_GB2312"/>
          <w:b/>
          <w:sz w:val="32"/>
          <w:szCs w:val="32"/>
          <w:lang w:val="zh-CN"/>
        </w:rPr>
      </w:pPr>
      <w:r>
        <w:rPr>
          <w:rFonts w:eastAsia="楷体_GB2312"/>
          <w:b/>
          <w:sz w:val="32"/>
          <w:szCs w:val="32"/>
          <w:lang w:val="zh-CN"/>
        </w:rPr>
        <w:t>（二）资金计划、到位及使用情况。</w:t>
      </w:r>
    </w:p>
    <w:p w14:paraId="5CC6D527">
      <w:pPr>
        <w:spacing w:line="578" w:lineRule="exact"/>
        <w:ind w:firstLine="640"/>
        <w:rPr>
          <w:rFonts w:eastAsia="仿宋_GB2312" w:cs="仿宋_GB2312"/>
          <w:kern w:val="0"/>
          <w:sz w:val="32"/>
          <w:szCs w:val="32"/>
        </w:rPr>
      </w:pPr>
      <w:r>
        <w:rPr>
          <w:rFonts w:hint="eastAsia" w:eastAsia="仿宋_GB2312" w:cs="仿宋_GB2312"/>
          <w:b/>
          <w:kern w:val="0"/>
          <w:sz w:val="32"/>
          <w:szCs w:val="32"/>
        </w:rPr>
        <w:t>1．资金计划</w:t>
      </w:r>
    </w:p>
    <w:p w14:paraId="6D4BD593">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本项目总预算24万元，分为果树、蔬菜两个团各12万元。</w:t>
      </w:r>
    </w:p>
    <w:p w14:paraId="666DEE88">
      <w:pPr>
        <w:spacing w:line="578" w:lineRule="exact"/>
        <w:ind w:left="709"/>
        <w:rPr>
          <w:rFonts w:eastAsia="仿宋_GB2312" w:cs="仿宋_GB2312"/>
          <w:kern w:val="0"/>
          <w:sz w:val="32"/>
          <w:szCs w:val="32"/>
        </w:rPr>
      </w:pPr>
      <w:r>
        <w:rPr>
          <w:rFonts w:hint="eastAsia" w:eastAsia="仿宋_GB2312" w:cs="仿宋_GB2312"/>
          <w:b/>
          <w:kern w:val="0"/>
          <w:sz w:val="32"/>
          <w:szCs w:val="32"/>
        </w:rPr>
        <w:t>2</w:t>
      </w:r>
      <w:r>
        <w:rPr>
          <w:rFonts w:eastAsia="仿宋_GB2312" w:cs="仿宋_GB2312"/>
          <w:b/>
          <w:kern w:val="0"/>
          <w:sz w:val="32"/>
          <w:szCs w:val="32"/>
        </w:rPr>
        <w:t>.</w:t>
      </w:r>
      <w:r>
        <w:rPr>
          <w:rFonts w:hint="eastAsia" w:eastAsia="仿宋_GB2312" w:cs="仿宋_GB2312"/>
          <w:b/>
          <w:kern w:val="0"/>
          <w:sz w:val="32"/>
          <w:szCs w:val="32"/>
        </w:rPr>
        <w:t>资金到位</w:t>
      </w:r>
    </w:p>
    <w:p w14:paraId="72A3F9C5">
      <w:pPr>
        <w:spacing w:line="578" w:lineRule="exact"/>
        <w:ind w:firstLine="640" w:firstLineChars="200"/>
        <w:rPr>
          <w:rFonts w:eastAsia="仿宋_GB2312" w:cs="仿宋_GB2312"/>
          <w:kern w:val="0"/>
          <w:sz w:val="32"/>
          <w:szCs w:val="32"/>
        </w:rPr>
      </w:pPr>
      <w:r>
        <w:rPr>
          <w:rFonts w:hint="eastAsia" w:eastAsia="仿宋_GB2312" w:cs="仿宋_GB2312"/>
          <w:kern w:val="0"/>
          <w:sz w:val="32"/>
          <w:szCs w:val="32"/>
        </w:rPr>
        <w:t>本项目资金来源为省级财政乡村振兴补助资金，共计24万。</w:t>
      </w:r>
    </w:p>
    <w:p w14:paraId="5B0269B7">
      <w:pPr>
        <w:pStyle w:val="30"/>
        <w:numPr>
          <w:ilvl w:val="0"/>
          <w:numId w:val="2"/>
        </w:numPr>
        <w:spacing w:line="578" w:lineRule="exact"/>
        <w:ind w:firstLineChars="0"/>
        <w:rPr>
          <w:rFonts w:eastAsia="仿宋_GB2312" w:cs="仿宋_GB2312"/>
          <w:kern w:val="0"/>
          <w:sz w:val="32"/>
          <w:szCs w:val="32"/>
        </w:rPr>
      </w:pPr>
      <w:r>
        <w:rPr>
          <w:rFonts w:hint="eastAsia" w:eastAsia="仿宋_GB2312" w:cs="仿宋_GB2312"/>
          <w:kern w:val="0"/>
          <w:sz w:val="32"/>
          <w:szCs w:val="32"/>
        </w:rPr>
        <w:t>资金使用情况</w:t>
      </w:r>
    </w:p>
    <w:p w14:paraId="39A5A60D">
      <w:pPr>
        <w:spacing w:line="578" w:lineRule="exact"/>
        <w:ind w:firstLine="640" w:firstLineChars="200"/>
        <w:rPr>
          <w:rFonts w:eastAsia="仿宋_GB2312" w:cs="仿宋_GB2312"/>
          <w:kern w:val="0"/>
          <w:sz w:val="32"/>
          <w:szCs w:val="32"/>
        </w:rPr>
      </w:pPr>
      <w:r>
        <w:rPr>
          <w:rFonts w:hint="eastAsia" w:eastAsia="仿宋_GB2312" w:cs="仿宋_GB2312"/>
          <w:kern w:val="0"/>
          <w:sz w:val="32"/>
          <w:szCs w:val="32"/>
        </w:rPr>
        <w:t>项目资金于2024年使用13.33万元，2025</w:t>
      </w:r>
      <w:r>
        <w:rPr>
          <w:rFonts w:eastAsia="仿宋_GB2312" w:cs="仿宋_GB2312"/>
          <w:kern w:val="0"/>
          <w:sz w:val="32"/>
          <w:szCs w:val="32"/>
        </w:rPr>
        <w:t>年支出</w:t>
      </w:r>
      <w:r>
        <w:rPr>
          <w:rFonts w:hint="eastAsia" w:eastAsia="仿宋_GB2312" w:cs="仿宋_GB2312"/>
          <w:kern w:val="0"/>
          <w:sz w:val="32"/>
          <w:szCs w:val="32"/>
        </w:rPr>
        <w:t>8.6</w:t>
      </w:r>
      <w:r>
        <w:rPr>
          <w:rFonts w:eastAsia="仿宋_GB2312" w:cs="仿宋_GB2312"/>
          <w:kern w:val="0"/>
          <w:sz w:val="32"/>
          <w:szCs w:val="32"/>
        </w:rPr>
        <w:t>6</w:t>
      </w:r>
      <w:r>
        <w:rPr>
          <w:rFonts w:hint="eastAsia" w:eastAsia="仿宋_GB2312" w:cs="仿宋_GB2312"/>
          <w:kern w:val="0"/>
          <w:sz w:val="32"/>
          <w:szCs w:val="32"/>
        </w:rPr>
        <w:t>万元，</w:t>
      </w:r>
      <w:r>
        <w:rPr>
          <w:rFonts w:eastAsia="仿宋_GB2312" w:cs="仿宋_GB2312"/>
          <w:kern w:val="0"/>
          <w:sz w:val="32"/>
          <w:szCs w:val="32"/>
        </w:rPr>
        <w:t>主要用于材料费和差旅费等。</w:t>
      </w:r>
    </w:p>
    <w:p w14:paraId="7982ABC3">
      <w:pPr>
        <w:spacing w:line="578" w:lineRule="exact"/>
        <w:ind w:firstLine="640"/>
        <w:rPr>
          <w:rFonts w:eastAsia="楷体_GB2312"/>
          <w:b/>
          <w:sz w:val="32"/>
          <w:szCs w:val="32"/>
          <w:lang w:val="zh-CN"/>
        </w:rPr>
      </w:pPr>
      <w:r>
        <w:rPr>
          <w:rFonts w:eastAsia="楷体_GB2312"/>
          <w:b/>
          <w:sz w:val="32"/>
          <w:szCs w:val="32"/>
          <w:lang w:val="zh-CN"/>
        </w:rPr>
        <w:t>（三）项目财务管理情况。</w:t>
      </w:r>
    </w:p>
    <w:p w14:paraId="740B263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扶贫资金的使用要求进行开支，每一笔开支均实行三级监管（项目组—财务—分管副院长），物资采购严格按照攀枝花市农林院《全院非政府采购类项目的采购管理暂行办法》（攀农林[2021]26号文）进行审批，综上所述，项目资金的使用安全、规范、有效，资金支付范围、支付标准、支付进度、支付依据等合规合法</w:t>
      </w:r>
      <w:r>
        <w:rPr>
          <w:rFonts w:eastAsia="仿宋_GB2312" w:cs="仿宋_GB2312"/>
          <w:kern w:val="0"/>
          <w:sz w:val="32"/>
          <w:szCs w:val="32"/>
        </w:rPr>
        <w:t>。</w:t>
      </w:r>
    </w:p>
    <w:p w14:paraId="6ABFF910">
      <w:pPr>
        <w:adjustRightInd w:val="0"/>
        <w:snapToGrid w:val="0"/>
        <w:spacing w:line="600" w:lineRule="exact"/>
        <w:ind w:firstLine="720"/>
        <w:rPr>
          <w:rFonts w:eastAsia="黑体"/>
          <w:sz w:val="32"/>
          <w:szCs w:val="32"/>
        </w:rPr>
      </w:pPr>
      <w:r>
        <w:rPr>
          <w:rFonts w:eastAsia="黑体"/>
          <w:sz w:val="32"/>
          <w:szCs w:val="32"/>
        </w:rPr>
        <w:t>三、项目实施及管理情况</w:t>
      </w:r>
    </w:p>
    <w:p w14:paraId="7EB89A96">
      <w:pPr>
        <w:spacing w:line="578" w:lineRule="exact"/>
        <w:ind w:firstLine="640"/>
        <w:rPr>
          <w:rFonts w:eastAsia="仿宋_GB2312" w:cs="仿宋_GB2312"/>
          <w:kern w:val="0"/>
          <w:sz w:val="32"/>
          <w:szCs w:val="32"/>
        </w:rPr>
      </w:pPr>
      <w:r>
        <w:rPr>
          <w:rFonts w:eastAsia="仿宋_GB2312" w:cs="仿宋_GB2312"/>
          <w:kern w:val="0"/>
          <w:sz w:val="32"/>
          <w:szCs w:val="32"/>
        </w:rPr>
        <w:t>结合项目组织实施管理办法，重点围绕以下内容进行分析评价，并对自评中发现的问题分析说明。</w:t>
      </w:r>
    </w:p>
    <w:p w14:paraId="4D00CA98">
      <w:pPr>
        <w:spacing w:line="578" w:lineRule="exact"/>
        <w:ind w:firstLine="640"/>
        <w:rPr>
          <w:rFonts w:eastAsia="楷体_GB2312"/>
          <w:b/>
          <w:sz w:val="32"/>
          <w:szCs w:val="32"/>
          <w:lang w:val="zh-CN"/>
        </w:rPr>
      </w:pPr>
      <w:r>
        <w:rPr>
          <w:rFonts w:hint="eastAsia" w:eastAsia="楷体_GB2312"/>
          <w:b/>
          <w:sz w:val="32"/>
          <w:szCs w:val="32"/>
          <w:lang w:val="zh-CN"/>
        </w:rPr>
        <w:t>（一）</w:t>
      </w:r>
      <w:r>
        <w:rPr>
          <w:rFonts w:eastAsia="楷体_GB2312"/>
          <w:b/>
          <w:sz w:val="32"/>
          <w:szCs w:val="32"/>
          <w:lang w:val="zh-CN"/>
        </w:rPr>
        <w:t>项目组织架构及实施流程。</w:t>
      </w:r>
    </w:p>
    <w:p w14:paraId="212529E0">
      <w:pPr>
        <w:spacing w:line="578" w:lineRule="exact"/>
        <w:ind w:firstLine="640"/>
        <w:jc w:val="center"/>
        <w:rPr>
          <w:rFonts w:eastAsia="仿宋_GB2312" w:cs="仿宋_GB2312"/>
          <w:kern w:val="0"/>
          <w:sz w:val="32"/>
          <w:szCs w:val="32"/>
        </w:rPr>
      </w:pPr>
      <w:r>
        <w:rPr>
          <w:rFonts w:eastAsia="仿宋_GB2312" w:cs="仿宋_GB2312"/>
          <w:kern w:val="0"/>
          <w:sz w:val="32"/>
          <w:szCs w:val="32"/>
        </w:rPr>
        <w:t>评价组人员构成</w:t>
      </w:r>
      <w:r>
        <w:rPr>
          <w:rFonts w:hint="eastAsia" w:eastAsia="仿宋_GB2312" w:cs="仿宋_GB2312"/>
          <w:kern w:val="0"/>
          <w:sz w:val="32"/>
          <w:szCs w:val="32"/>
        </w:rPr>
        <w:t>和</w:t>
      </w:r>
      <w:r>
        <w:rPr>
          <w:rFonts w:eastAsia="仿宋_GB2312" w:cs="仿宋_GB2312"/>
          <w:kern w:val="0"/>
          <w:sz w:val="32"/>
          <w:szCs w:val="32"/>
        </w:rPr>
        <w:t>职责分工见下表</w:t>
      </w:r>
    </w:p>
    <w:tbl>
      <w:tblPr>
        <w:tblStyle w:val="18"/>
        <w:tblW w:w="813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0191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715" w:type="dxa"/>
            <w:tcBorders>
              <w:tl2br w:val="nil"/>
              <w:tr2bl w:val="nil"/>
            </w:tcBorders>
            <w:vAlign w:val="center"/>
          </w:tcPr>
          <w:p w14:paraId="4942C82D">
            <w:pPr>
              <w:jc w:val="center"/>
              <w:rPr>
                <w:sz w:val="24"/>
              </w:rPr>
            </w:pPr>
            <w:r>
              <w:rPr>
                <w:rFonts w:eastAsia="仿宋_GB2312"/>
                <w:sz w:val="24"/>
              </w:rPr>
              <w:t>姓  名</w:t>
            </w:r>
          </w:p>
        </w:tc>
        <w:tc>
          <w:tcPr>
            <w:tcW w:w="6416" w:type="dxa"/>
            <w:tcBorders>
              <w:tl2br w:val="nil"/>
              <w:tr2bl w:val="nil"/>
            </w:tcBorders>
            <w:vAlign w:val="center"/>
          </w:tcPr>
          <w:p w14:paraId="6D675723">
            <w:pPr>
              <w:jc w:val="center"/>
              <w:rPr>
                <w:sz w:val="24"/>
              </w:rPr>
            </w:pPr>
            <w:r>
              <w:rPr>
                <w:rFonts w:eastAsia="仿宋_GB2312"/>
                <w:sz w:val="24"/>
              </w:rPr>
              <w:t>职责分工</w:t>
            </w:r>
          </w:p>
        </w:tc>
      </w:tr>
      <w:tr w14:paraId="515A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47F9C795">
            <w:pPr>
              <w:jc w:val="center"/>
              <w:rPr>
                <w:sz w:val="24"/>
              </w:rPr>
            </w:pPr>
            <w:r>
              <w:rPr>
                <w:rFonts w:eastAsia="仿宋_GB2312"/>
                <w:sz w:val="24"/>
              </w:rPr>
              <w:t>罗照西</w:t>
            </w:r>
          </w:p>
        </w:tc>
        <w:tc>
          <w:tcPr>
            <w:tcW w:w="6416" w:type="dxa"/>
            <w:tcBorders>
              <w:tl2br w:val="nil"/>
              <w:tr2bl w:val="nil"/>
            </w:tcBorders>
            <w:vAlign w:val="center"/>
          </w:tcPr>
          <w:p w14:paraId="0697CCF2">
            <w:pPr>
              <w:jc w:val="center"/>
              <w:rPr>
                <w:sz w:val="24"/>
              </w:rPr>
            </w:pPr>
            <w:r>
              <w:rPr>
                <w:rFonts w:eastAsia="仿宋_GB2312"/>
                <w:sz w:val="24"/>
              </w:rPr>
              <w:t>组长，协助芒果团队评价材料收集、整理。</w:t>
            </w:r>
          </w:p>
        </w:tc>
      </w:tr>
      <w:tr w14:paraId="71C8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146DB9E0">
            <w:pPr>
              <w:jc w:val="center"/>
              <w:rPr>
                <w:sz w:val="24"/>
              </w:rPr>
            </w:pPr>
            <w:r>
              <w:rPr>
                <w:rFonts w:eastAsia="仿宋_GB2312"/>
                <w:sz w:val="24"/>
              </w:rPr>
              <w:t>杨晓峰</w:t>
            </w:r>
          </w:p>
        </w:tc>
        <w:tc>
          <w:tcPr>
            <w:tcW w:w="6416" w:type="dxa"/>
            <w:tcBorders>
              <w:tl2br w:val="nil"/>
              <w:tr2bl w:val="nil"/>
            </w:tcBorders>
            <w:vAlign w:val="center"/>
          </w:tcPr>
          <w:p w14:paraId="1522502A">
            <w:pPr>
              <w:jc w:val="center"/>
              <w:rPr>
                <w:sz w:val="24"/>
              </w:rPr>
            </w:pPr>
            <w:r>
              <w:rPr>
                <w:rFonts w:eastAsia="仿宋_GB2312"/>
                <w:sz w:val="24"/>
              </w:rPr>
              <w:t>副组长，负责蔬菜团队评价的全面工作。</w:t>
            </w:r>
          </w:p>
        </w:tc>
      </w:tr>
      <w:tr w14:paraId="6268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715" w:type="dxa"/>
            <w:tcBorders>
              <w:tl2br w:val="nil"/>
              <w:tr2bl w:val="nil"/>
            </w:tcBorders>
            <w:vAlign w:val="center"/>
          </w:tcPr>
          <w:p w14:paraId="4DFBCB71">
            <w:pPr>
              <w:jc w:val="center"/>
              <w:rPr>
                <w:sz w:val="24"/>
              </w:rPr>
            </w:pPr>
            <w:r>
              <w:rPr>
                <w:rFonts w:eastAsia="仿宋_GB2312"/>
                <w:sz w:val="24"/>
              </w:rPr>
              <w:t>胡湘军</w:t>
            </w:r>
          </w:p>
        </w:tc>
        <w:tc>
          <w:tcPr>
            <w:tcW w:w="6416" w:type="dxa"/>
            <w:tcBorders>
              <w:tl2br w:val="nil"/>
              <w:tr2bl w:val="nil"/>
            </w:tcBorders>
            <w:vAlign w:val="center"/>
          </w:tcPr>
          <w:p w14:paraId="0A04636C">
            <w:pPr>
              <w:jc w:val="center"/>
              <w:rPr>
                <w:sz w:val="24"/>
              </w:rPr>
            </w:pPr>
            <w:r>
              <w:rPr>
                <w:rFonts w:eastAsia="仿宋_GB2312"/>
                <w:sz w:val="24"/>
              </w:rPr>
              <w:t>成员，负责蔬菜团队评价材料撰写。</w:t>
            </w:r>
          </w:p>
        </w:tc>
      </w:tr>
      <w:tr w14:paraId="55B8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15" w:type="dxa"/>
            <w:tcBorders>
              <w:tl2br w:val="nil"/>
              <w:tr2bl w:val="nil"/>
            </w:tcBorders>
            <w:vAlign w:val="center"/>
          </w:tcPr>
          <w:p w14:paraId="17EEB22D">
            <w:pPr>
              <w:jc w:val="center"/>
              <w:rPr>
                <w:sz w:val="24"/>
              </w:rPr>
            </w:pPr>
            <w:r>
              <w:rPr>
                <w:rFonts w:eastAsia="仿宋_GB2312"/>
                <w:sz w:val="24"/>
              </w:rPr>
              <w:t>黄艳</w:t>
            </w:r>
          </w:p>
        </w:tc>
        <w:tc>
          <w:tcPr>
            <w:tcW w:w="6416" w:type="dxa"/>
            <w:tcBorders>
              <w:tl2br w:val="nil"/>
              <w:tr2bl w:val="nil"/>
            </w:tcBorders>
            <w:vAlign w:val="center"/>
          </w:tcPr>
          <w:p w14:paraId="1AE3DE92">
            <w:pPr>
              <w:jc w:val="center"/>
              <w:rPr>
                <w:sz w:val="24"/>
              </w:rPr>
            </w:pPr>
            <w:r>
              <w:rPr>
                <w:rFonts w:eastAsia="仿宋_GB2312"/>
                <w:sz w:val="24"/>
              </w:rPr>
              <w:t>成员，协助蔬菜团队评价材料收集、整理。</w:t>
            </w:r>
          </w:p>
        </w:tc>
      </w:tr>
      <w:tr w14:paraId="5D8B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15" w:type="dxa"/>
            <w:tcBorders>
              <w:tl2br w:val="nil"/>
              <w:tr2bl w:val="nil"/>
            </w:tcBorders>
            <w:vAlign w:val="center"/>
          </w:tcPr>
          <w:p w14:paraId="6D9B3766">
            <w:pPr>
              <w:jc w:val="center"/>
              <w:rPr>
                <w:sz w:val="24"/>
              </w:rPr>
            </w:pPr>
            <w:r>
              <w:rPr>
                <w:rFonts w:eastAsia="仿宋_GB2312"/>
                <w:sz w:val="24"/>
              </w:rPr>
              <w:t>李志</w:t>
            </w:r>
          </w:p>
        </w:tc>
        <w:tc>
          <w:tcPr>
            <w:tcW w:w="6416" w:type="dxa"/>
            <w:tcBorders>
              <w:tl2br w:val="nil"/>
              <w:tr2bl w:val="nil"/>
            </w:tcBorders>
            <w:vAlign w:val="center"/>
          </w:tcPr>
          <w:p w14:paraId="5BCB3CBA">
            <w:pPr>
              <w:jc w:val="center"/>
              <w:rPr>
                <w:sz w:val="24"/>
              </w:rPr>
            </w:pPr>
            <w:r>
              <w:rPr>
                <w:rFonts w:eastAsia="仿宋_GB2312"/>
                <w:sz w:val="24"/>
              </w:rPr>
              <w:t>成员，协助蔬菜团队评价材料收集、整理。</w:t>
            </w:r>
          </w:p>
        </w:tc>
      </w:tr>
      <w:tr w14:paraId="4DCA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15" w:type="dxa"/>
            <w:tcBorders>
              <w:tl2br w:val="nil"/>
              <w:tr2bl w:val="nil"/>
            </w:tcBorders>
            <w:vAlign w:val="center"/>
          </w:tcPr>
          <w:p w14:paraId="2E761DFE">
            <w:pPr>
              <w:jc w:val="center"/>
              <w:rPr>
                <w:sz w:val="24"/>
              </w:rPr>
            </w:pPr>
            <w:r>
              <w:rPr>
                <w:rFonts w:eastAsia="仿宋_GB2312"/>
                <w:sz w:val="24"/>
              </w:rPr>
              <w:t>李贵利</w:t>
            </w:r>
          </w:p>
        </w:tc>
        <w:tc>
          <w:tcPr>
            <w:tcW w:w="6416" w:type="dxa"/>
            <w:tcBorders>
              <w:tl2br w:val="nil"/>
              <w:tr2bl w:val="nil"/>
            </w:tcBorders>
            <w:vAlign w:val="center"/>
          </w:tcPr>
          <w:p w14:paraId="1456F0D8">
            <w:pPr>
              <w:jc w:val="center"/>
              <w:rPr>
                <w:sz w:val="24"/>
              </w:rPr>
            </w:pPr>
            <w:r>
              <w:rPr>
                <w:rFonts w:eastAsia="仿宋_GB2312"/>
                <w:sz w:val="24"/>
              </w:rPr>
              <w:t>成员，负责芒果团队评价材料撰写。</w:t>
            </w:r>
          </w:p>
        </w:tc>
      </w:tr>
      <w:tr w14:paraId="16BF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15" w:type="dxa"/>
            <w:tcBorders>
              <w:tl2br w:val="nil"/>
              <w:tr2bl w:val="nil"/>
            </w:tcBorders>
            <w:vAlign w:val="center"/>
          </w:tcPr>
          <w:p w14:paraId="0774A30F">
            <w:pPr>
              <w:jc w:val="center"/>
              <w:rPr>
                <w:sz w:val="24"/>
              </w:rPr>
            </w:pPr>
            <w:r>
              <w:rPr>
                <w:rFonts w:eastAsia="仿宋_GB2312"/>
                <w:sz w:val="24"/>
              </w:rPr>
              <w:t>李桂珍</w:t>
            </w:r>
          </w:p>
        </w:tc>
        <w:tc>
          <w:tcPr>
            <w:tcW w:w="6416" w:type="dxa"/>
            <w:tcBorders>
              <w:tl2br w:val="nil"/>
              <w:tr2bl w:val="nil"/>
            </w:tcBorders>
            <w:vAlign w:val="center"/>
          </w:tcPr>
          <w:p w14:paraId="1673A692">
            <w:pPr>
              <w:jc w:val="center"/>
              <w:rPr>
                <w:sz w:val="24"/>
              </w:rPr>
            </w:pPr>
            <w:r>
              <w:rPr>
                <w:rFonts w:eastAsia="仿宋_GB2312"/>
                <w:sz w:val="24"/>
              </w:rPr>
              <w:t>成员，协助芒果团队评价材料收集、整理。</w:t>
            </w:r>
          </w:p>
        </w:tc>
      </w:tr>
    </w:tbl>
    <w:p w14:paraId="0E8A61E6">
      <w:pPr>
        <w:spacing w:line="578" w:lineRule="exact"/>
        <w:ind w:firstLine="640"/>
        <w:rPr>
          <w:rFonts w:eastAsia="仿宋_GB2312" w:cs="仿宋_GB2312"/>
          <w:kern w:val="0"/>
          <w:sz w:val="32"/>
          <w:szCs w:val="32"/>
        </w:rPr>
      </w:pPr>
      <w:r>
        <w:rPr>
          <w:rFonts w:hint="eastAsia" w:eastAsia="仿宋_GB2312" w:cs="仿宋_GB2312"/>
          <w:kern w:val="0"/>
          <w:sz w:val="32"/>
          <w:szCs w:val="32"/>
        </w:rPr>
        <w:t>实施流程</w:t>
      </w:r>
      <w:r>
        <w:rPr>
          <w:rFonts w:eastAsia="仿宋_GB2312" w:cs="仿宋_GB2312"/>
          <w:kern w:val="0"/>
          <w:sz w:val="32"/>
          <w:szCs w:val="32"/>
        </w:rPr>
        <w:t>：</w:t>
      </w:r>
      <w:r>
        <w:rPr>
          <w:rFonts w:hint="eastAsia" w:eastAsia="仿宋_GB2312" w:cs="仿宋_GB2312"/>
          <w:kern w:val="0"/>
          <w:sz w:val="32"/>
          <w:szCs w:val="32"/>
        </w:rPr>
        <w:t>制定年度目标与工作计划，依据专家专业特长和岗位职能细化分配任务。然后采用集中式、分组式及独立开展等形式开展各类培训与指导活动。在活动过程中，通过专属微信群进行信息共享与即时沟通，确保工作顺利进行。</w:t>
      </w:r>
    </w:p>
    <w:p w14:paraId="6533330D">
      <w:pPr>
        <w:spacing w:line="578" w:lineRule="exact"/>
        <w:ind w:firstLine="640"/>
        <w:rPr>
          <w:rFonts w:eastAsia="仿宋_GB2312" w:cs="仿宋_GB2312"/>
          <w:kern w:val="0"/>
          <w:sz w:val="32"/>
          <w:szCs w:val="32"/>
        </w:rPr>
      </w:pPr>
      <w:r>
        <w:rPr>
          <w:rFonts w:eastAsia="楷体_GB2312"/>
          <w:b/>
          <w:sz w:val="32"/>
          <w:szCs w:val="32"/>
          <w:lang w:val="zh-CN"/>
        </w:rPr>
        <w:t>（</w:t>
      </w:r>
      <w:r>
        <w:rPr>
          <w:rFonts w:hint="eastAsia" w:eastAsia="楷体_GB2312"/>
          <w:b/>
          <w:sz w:val="32"/>
          <w:szCs w:val="32"/>
          <w:lang w:val="zh-CN"/>
        </w:rPr>
        <w:t>二</w:t>
      </w:r>
      <w:r>
        <w:rPr>
          <w:rFonts w:eastAsia="楷体_GB2312"/>
          <w:b/>
          <w:sz w:val="32"/>
          <w:szCs w:val="32"/>
          <w:lang w:val="zh-CN"/>
        </w:rPr>
        <w:t>）项目管理情况。</w:t>
      </w:r>
      <w:r>
        <w:rPr>
          <w:rFonts w:hint="eastAsia" w:eastAsia="仿宋_GB2312" w:cs="仿宋_GB2312"/>
          <w:kern w:val="0"/>
          <w:sz w:val="32"/>
          <w:szCs w:val="32"/>
        </w:rPr>
        <w:t xml:space="preserve"> </w:t>
      </w:r>
    </w:p>
    <w:p w14:paraId="2302310B">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院财务室负责对项目经费开支情况进行审核；项目承担单位科技管理科对项目申报、实施、验收等进行全程监督和管理</w:t>
      </w:r>
      <w:r>
        <w:rPr>
          <w:rFonts w:eastAsia="仿宋_GB2312" w:cs="仿宋_GB2312"/>
          <w:kern w:val="0"/>
          <w:sz w:val="32"/>
          <w:szCs w:val="32"/>
        </w:rPr>
        <w:t>。</w:t>
      </w:r>
    </w:p>
    <w:p w14:paraId="5083FF2C">
      <w:pPr>
        <w:spacing w:line="578" w:lineRule="exact"/>
        <w:ind w:firstLine="640"/>
        <w:rPr>
          <w:rFonts w:eastAsia="仿宋_GB2312" w:cs="仿宋_GB2312"/>
          <w:kern w:val="0"/>
          <w:sz w:val="32"/>
          <w:szCs w:val="32"/>
        </w:rPr>
      </w:pPr>
      <w:r>
        <w:rPr>
          <w:rFonts w:hint="eastAsia" w:eastAsia="仿宋_GB2312" w:cs="仿宋_GB2312"/>
          <w:kern w:val="0"/>
          <w:sz w:val="32"/>
          <w:szCs w:val="32"/>
        </w:rPr>
        <w:t>本项目在使用过程中，严格按照省、市科技项目资金使用要求进行开支，开支均实行三级监管（项目组—财务—分管副院长），物资采购严格按照攀枝花市农林院《全院非政府采购类项目的采购管理暂行办法》（攀农林[2021]26号文）进行审批。因此，项目资金的使用安全、规范、有效，资金支付范围、支付标准、支付进度、支付依据等合规合法、与预算相符。</w:t>
      </w:r>
    </w:p>
    <w:p w14:paraId="1B9D0975">
      <w:pPr>
        <w:spacing w:line="578" w:lineRule="exact"/>
        <w:ind w:firstLine="640"/>
        <w:rPr>
          <w:rFonts w:eastAsia="仿宋_GB2312" w:cs="仿宋_GB2312"/>
          <w:kern w:val="0"/>
          <w:sz w:val="32"/>
          <w:szCs w:val="32"/>
        </w:rPr>
      </w:pPr>
      <w:r>
        <w:rPr>
          <w:rFonts w:eastAsia="楷体_GB2312"/>
          <w:b/>
          <w:sz w:val="32"/>
          <w:szCs w:val="32"/>
          <w:lang w:val="zh-CN"/>
        </w:rPr>
        <w:t>（三）项目监管情况。</w:t>
      </w:r>
    </w:p>
    <w:p w14:paraId="0CEA7864">
      <w:pPr>
        <w:spacing w:line="578" w:lineRule="exact"/>
        <w:ind w:firstLine="640"/>
        <w:rPr>
          <w:rFonts w:eastAsia="仿宋_GB2312" w:cs="仿宋_GB2312"/>
          <w:kern w:val="0"/>
          <w:sz w:val="32"/>
          <w:szCs w:val="32"/>
        </w:rPr>
      </w:pPr>
      <w:r>
        <w:rPr>
          <w:rFonts w:hint="eastAsia" w:eastAsia="仿宋_GB2312" w:cs="仿宋_GB2312"/>
          <w:kern w:val="0"/>
          <w:sz w:val="32"/>
          <w:szCs w:val="32"/>
        </w:rPr>
        <w:t>主管部门要求团队定期提供科技下乡万里行工作推进情况，提供相关活动资料和数据。每年对团队进行年度项目考核</w:t>
      </w:r>
      <w:r>
        <w:rPr>
          <w:rFonts w:eastAsia="仿宋_GB2312" w:cs="仿宋_GB2312"/>
          <w:kern w:val="0"/>
          <w:sz w:val="32"/>
          <w:szCs w:val="32"/>
        </w:rPr>
        <w:t>。</w:t>
      </w:r>
    </w:p>
    <w:p w14:paraId="4F010DCA">
      <w:pPr>
        <w:adjustRightInd w:val="0"/>
        <w:snapToGrid w:val="0"/>
        <w:spacing w:line="600" w:lineRule="exact"/>
        <w:ind w:firstLine="720"/>
        <w:rPr>
          <w:rFonts w:eastAsia="黑体"/>
          <w:sz w:val="32"/>
          <w:szCs w:val="32"/>
        </w:rPr>
      </w:pPr>
      <w:r>
        <w:rPr>
          <w:rFonts w:eastAsia="黑体"/>
          <w:sz w:val="32"/>
          <w:szCs w:val="32"/>
        </w:rPr>
        <w:t>四、项目绩效情况</w:t>
      </w:r>
    </w:p>
    <w:p w14:paraId="22E70F88">
      <w:pPr>
        <w:spacing w:line="578" w:lineRule="exact"/>
        <w:ind w:firstLine="640"/>
        <w:rPr>
          <w:rFonts w:eastAsia="楷体_GB2312"/>
          <w:b/>
          <w:sz w:val="32"/>
          <w:szCs w:val="32"/>
          <w:lang w:val="zh-CN"/>
        </w:rPr>
      </w:pPr>
      <w:r>
        <w:rPr>
          <w:rFonts w:eastAsia="楷体_GB2312"/>
          <w:b/>
          <w:sz w:val="32"/>
          <w:szCs w:val="32"/>
          <w:lang w:val="zh-CN"/>
        </w:rPr>
        <w:t>（一）项目完成情况</w:t>
      </w:r>
    </w:p>
    <w:tbl>
      <w:tblPr>
        <w:tblStyle w:val="18"/>
        <w:tblW w:w="8467" w:type="dxa"/>
        <w:tblInd w:w="0" w:type="dxa"/>
        <w:tblLayout w:type="autofit"/>
        <w:tblCellMar>
          <w:top w:w="0" w:type="dxa"/>
          <w:left w:w="108" w:type="dxa"/>
          <w:bottom w:w="0" w:type="dxa"/>
          <w:right w:w="108" w:type="dxa"/>
        </w:tblCellMar>
      </w:tblPr>
      <w:tblGrid>
        <w:gridCol w:w="920"/>
        <w:gridCol w:w="5061"/>
        <w:gridCol w:w="1184"/>
        <w:gridCol w:w="1302"/>
      </w:tblGrid>
      <w:tr w14:paraId="62D5305E">
        <w:tblPrEx>
          <w:tblCellMar>
            <w:top w:w="0" w:type="dxa"/>
            <w:left w:w="108" w:type="dxa"/>
            <w:bottom w:w="0" w:type="dxa"/>
            <w:right w:w="108" w:type="dxa"/>
          </w:tblCellMar>
        </w:tblPrEx>
        <w:trPr>
          <w:trHeight w:val="384"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6DB3739">
            <w:pPr>
              <w:jc w:val="center"/>
              <w:rPr>
                <w:rFonts w:ascii="宋体" w:cs="Lucida Sans"/>
                <w:sz w:val="18"/>
              </w:rPr>
            </w:pPr>
            <w:r>
              <w:rPr>
                <w:rFonts w:ascii="宋体" w:cs="Lucida Sans"/>
                <w:sz w:val="18"/>
              </w:rPr>
              <w:t>序号</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D020ED">
            <w:pPr>
              <w:jc w:val="center"/>
            </w:pPr>
            <w:r>
              <w:rPr>
                <w:rFonts w:ascii="宋体" w:cs="Lucida Sans"/>
                <w:sz w:val="18"/>
              </w:rPr>
              <w:t>指标名称</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69BD5D">
            <w:pPr>
              <w:jc w:val="center"/>
            </w:pPr>
            <w:r>
              <w:rPr>
                <w:rFonts w:ascii="宋体" w:cs="Lucida Sans"/>
                <w:sz w:val="18"/>
              </w:rPr>
              <w:t>指标值</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97D4C4">
            <w:pPr>
              <w:jc w:val="center"/>
            </w:pPr>
            <w:r>
              <w:rPr>
                <w:rFonts w:ascii="宋体" w:cs="Lucida Sans"/>
                <w:sz w:val="18"/>
              </w:rPr>
              <w:t>完成值</w:t>
            </w:r>
          </w:p>
        </w:tc>
      </w:tr>
      <w:tr w14:paraId="730D437D">
        <w:tblPrEx>
          <w:tblCellMar>
            <w:top w:w="0" w:type="dxa"/>
            <w:left w:w="108" w:type="dxa"/>
            <w:bottom w:w="0" w:type="dxa"/>
            <w:right w:w="108" w:type="dxa"/>
          </w:tblCellMar>
        </w:tblPrEx>
        <w:trPr>
          <w:trHeight w:val="563"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0FAA61">
            <w:pPr>
              <w:jc w:val="center"/>
              <w:rPr>
                <w:rFonts w:ascii="宋体" w:cs="Lucida Sans"/>
                <w:sz w:val="18"/>
              </w:rPr>
            </w:pPr>
            <w:r>
              <w:rPr>
                <w:rFonts w:ascii="宋体" w:cs="Lucida Sans"/>
                <w:sz w:val="18"/>
              </w:rPr>
              <w:t>1</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77A8D4">
            <w:pPr>
              <w:jc w:val="center"/>
            </w:pPr>
            <w:r>
              <w:rPr>
                <w:rFonts w:ascii="宋体" w:cs="Lucida Sans"/>
                <w:sz w:val="18"/>
              </w:rPr>
              <w:t>示范推广新品种、新技术、新模式</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04EA43">
            <w:pPr>
              <w:jc w:val="center"/>
              <w:rPr>
                <w:rFonts w:ascii="宋体" w:cs="Lucida Sans"/>
                <w:sz w:val="18"/>
              </w:rPr>
            </w:pPr>
            <w:r>
              <w:rPr>
                <w:rFonts w:ascii="宋体" w:cs="Lucida Sans"/>
                <w:sz w:val="18"/>
              </w:rPr>
              <w:t>4</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8B22E3">
            <w:pPr>
              <w:jc w:val="center"/>
              <w:rPr>
                <w:rFonts w:ascii="宋体" w:cs="Lucida Sans"/>
                <w:sz w:val="18"/>
              </w:rPr>
            </w:pPr>
            <w:r>
              <w:rPr>
                <w:rFonts w:ascii="宋体" w:cs="Lucida Sans"/>
                <w:sz w:val="18"/>
              </w:rPr>
              <w:t>7</w:t>
            </w:r>
          </w:p>
        </w:tc>
      </w:tr>
      <w:tr w14:paraId="507F7F0D">
        <w:tblPrEx>
          <w:tblCellMar>
            <w:top w:w="0" w:type="dxa"/>
            <w:left w:w="108" w:type="dxa"/>
            <w:bottom w:w="0" w:type="dxa"/>
            <w:right w:w="108" w:type="dxa"/>
          </w:tblCellMar>
        </w:tblPrEx>
        <w:trPr>
          <w:trHeight w:val="350"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0095DB4">
            <w:pPr>
              <w:jc w:val="center"/>
              <w:rPr>
                <w:rFonts w:ascii="宋体" w:cs="Lucida Sans"/>
                <w:sz w:val="18"/>
              </w:rPr>
            </w:pPr>
            <w:r>
              <w:rPr>
                <w:rFonts w:ascii="宋体" w:cs="Lucida Sans"/>
                <w:sz w:val="18"/>
              </w:rPr>
              <w:t>2</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594BD4">
            <w:pPr>
              <w:jc w:val="center"/>
            </w:pPr>
            <w:r>
              <w:rPr>
                <w:rFonts w:ascii="宋体" w:cs="Lucida Sans"/>
                <w:sz w:val="18"/>
              </w:rPr>
              <w:t>调研报告</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C78225">
            <w:pPr>
              <w:jc w:val="center"/>
              <w:rPr>
                <w:rFonts w:ascii="宋体" w:cs="Lucida Sans"/>
                <w:sz w:val="18"/>
              </w:rPr>
            </w:pPr>
            <w:r>
              <w:rPr>
                <w:rFonts w:ascii="宋体" w:cs="Lucida Sans"/>
                <w:sz w:val="18"/>
              </w:rPr>
              <w:t>1</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AB7E138">
            <w:pPr>
              <w:jc w:val="center"/>
              <w:rPr>
                <w:rFonts w:ascii="宋体" w:cs="Lucida Sans"/>
                <w:sz w:val="18"/>
              </w:rPr>
            </w:pPr>
            <w:r>
              <w:rPr>
                <w:rFonts w:ascii="宋体" w:cs="Lucida Sans"/>
                <w:sz w:val="18"/>
              </w:rPr>
              <w:t>3</w:t>
            </w:r>
          </w:p>
        </w:tc>
      </w:tr>
      <w:tr w14:paraId="08B9F8EC">
        <w:tblPrEx>
          <w:tblCellMar>
            <w:top w:w="0" w:type="dxa"/>
            <w:left w:w="108" w:type="dxa"/>
            <w:bottom w:w="0" w:type="dxa"/>
            <w:right w:w="108" w:type="dxa"/>
          </w:tblCellMar>
        </w:tblPrEx>
        <w:trPr>
          <w:trHeight w:val="456"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DA06A0">
            <w:pPr>
              <w:jc w:val="center"/>
              <w:rPr>
                <w:rFonts w:ascii="宋体" w:cs="Lucida Sans"/>
                <w:sz w:val="18"/>
              </w:rPr>
            </w:pPr>
            <w:r>
              <w:rPr>
                <w:rFonts w:ascii="宋体" w:cs="Lucida Sans"/>
                <w:sz w:val="18"/>
              </w:rPr>
              <w:t>3</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E4578D">
            <w:pPr>
              <w:jc w:val="center"/>
            </w:pPr>
            <w:r>
              <w:rPr>
                <w:rFonts w:ascii="宋体" w:cs="Lucida Sans"/>
                <w:sz w:val="18"/>
              </w:rPr>
              <w:t>“科技下乡万里行”43团总结</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ED1B2B">
            <w:pPr>
              <w:jc w:val="center"/>
              <w:rPr>
                <w:rFonts w:ascii="宋体" w:cs="Lucida Sans"/>
                <w:sz w:val="18"/>
              </w:rPr>
            </w:pPr>
            <w:r>
              <w:rPr>
                <w:rFonts w:ascii="宋体" w:cs="Lucida Sans"/>
                <w:sz w:val="18"/>
              </w:rPr>
              <w:t>1</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B62E80">
            <w:pPr>
              <w:jc w:val="center"/>
              <w:rPr>
                <w:rFonts w:ascii="宋体" w:cs="Lucida Sans"/>
                <w:sz w:val="18"/>
              </w:rPr>
            </w:pPr>
            <w:r>
              <w:rPr>
                <w:rFonts w:ascii="宋体" w:cs="Lucida Sans"/>
                <w:sz w:val="18"/>
              </w:rPr>
              <w:t>2</w:t>
            </w:r>
          </w:p>
        </w:tc>
      </w:tr>
      <w:tr w14:paraId="356A086B">
        <w:tblPrEx>
          <w:tblCellMar>
            <w:top w:w="0" w:type="dxa"/>
            <w:left w:w="108" w:type="dxa"/>
            <w:bottom w:w="0" w:type="dxa"/>
            <w:right w:w="108" w:type="dxa"/>
          </w:tblCellMar>
        </w:tblPrEx>
        <w:trPr>
          <w:trHeight w:val="350"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75318F">
            <w:pPr>
              <w:jc w:val="center"/>
              <w:rPr>
                <w:rFonts w:ascii="宋体" w:cs="Lucida Sans"/>
                <w:sz w:val="18"/>
              </w:rPr>
            </w:pPr>
            <w:r>
              <w:rPr>
                <w:rFonts w:ascii="宋体" w:cs="Lucida Sans"/>
                <w:sz w:val="18"/>
              </w:rPr>
              <w:t>4</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152199">
            <w:pPr>
              <w:jc w:val="center"/>
            </w:pPr>
            <w:r>
              <w:rPr>
                <w:rFonts w:ascii="宋体" w:cs="Lucida Sans"/>
                <w:sz w:val="18"/>
              </w:rPr>
              <w:t>服务受援地时间</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7613AC">
            <w:pPr>
              <w:jc w:val="center"/>
              <w:rPr>
                <w:rFonts w:ascii="宋体" w:cs="Lucida Sans"/>
                <w:sz w:val="18"/>
              </w:rPr>
            </w:pPr>
            <w:r>
              <w:rPr>
                <w:rFonts w:ascii="宋体" w:cs="Lucida Sans"/>
                <w:sz w:val="18"/>
              </w:rPr>
              <w:t>30</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E9AAF7">
            <w:pPr>
              <w:jc w:val="center"/>
              <w:rPr>
                <w:rFonts w:ascii="宋体" w:cs="Lucida Sans"/>
                <w:sz w:val="18"/>
              </w:rPr>
            </w:pPr>
            <w:r>
              <w:rPr>
                <w:rFonts w:ascii="宋体" w:cs="Lucida Sans"/>
                <w:sz w:val="18"/>
              </w:rPr>
              <w:t>38</w:t>
            </w:r>
          </w:p>
        </w:tc>
      </w:tr>
      <w:tr w14:paraId="603BBF04">
        <w:tblPrEx>
          <w:tblCellMar>
            <w:top w:w="0" w:type="dxa"/>
            <w:left w:w="108" w:type="dxa"/>
            <w:bottom w:w="0" w:type="dxa"/>
            <w:right w:w="108" w:type="dxa"/>
          </w:tblCellMar>
        </w:tblPrEx>
        <w:trPr>
          <w:trHeight w:val="517"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46FE342">
            <w:pPr>
              <w:jc w:val="center"/>
              <w:rPr>
                <w:rFonts w:ascii="宋体" w:cs="Lucida Sans"/>
                <w:sz w:val="18"/>
              </w:rPr>
            </w:pPr>
            <w:r>
              <w:rPr>
                <w:rFonts w:ascii="宋体" w:cs="Lucida Sans"/>
                <w:sz w:val="18"/>
              </w:rPr>
              <w:t>5</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C64B64">
            <w:pPr>
              <w:jc w:val="center"/>
            </w:pPr>
            <w:r>
              <w:rPr>
                <w:rFonts w:ascii="宋体" w:cs="Lucida Sans"/>
                <w:sz w:val="18"/>
              </w:rPr>
              <w:t>举办技术培训班、专家结对工作</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FD9DB0">
            <w:pPr>
              <w:jc w:val="center"/>
              <w:rPr>
                <w:rFonts w:ascii="宋体" w:cs="Lucida Sans"/>
                <w:sz w:val="18"/>
              </w:rPr>
            </w:pPr>
            <w:r>
              <w:rPr>
                <w:rFonts w:ascii="宋体" w:cs="Lucida Sans"/>
                <w:sz w:val="18"/>
              </w:rPr>
              <w:t>20</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166323">
            <w:pPr>
              <w:jc w:val="center"/>
              <w:rPr>
                <w:rFonts w:ascii="宋体" w:cs="Lucida Sans"/>
                <w:sz w:val="18"/>
              </w:rPr>
            </w:pPr>
            <w:r>
              <w:rPr>
                <w:rFonts w:ascii="宋体" w:cs="Lucida Sans"/>
                <w:sz w:val="18"/>
              </w:rPr>
              <w:t>20</w:t>
            </w:r>
          </w:p>
        </w:tc>
      </w:tr>
      <w:tr w14:paraId="54A6D255">
        <w:tblPrEx>
          <w:tblCellMar>
            <w:top w:w="0" w:type="dxa"/>
            <w:left w:w="108" w:type="dxa"/>
            <w:bottom w:w="0" w:type="dxa"/>
            <w:right w:w="108" w:type="dxa"/>
          </w:tblCellMar>
        </w:tblPrEx>
        <w:trPr>
          <w:trHeight w:val="780"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8A47B5">
            <w:pPr>
              <w:jc w:val="center"/>
              <w:rPr>
                <w:rFonts w:ascii="宋体" w:cs="Lucida Sans"/>
                <w:sz w:val="18"/>
              </w:rPr>
            </w:pPr>
            <w:r>
              <w:rPr>
                <w:rFonts w:ascii="宋体" w:cs="Lucida Sans"/>
                <w:sz w:val="18"/>
              </w:rPr>
              <w:t>6</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3F3F84">
            <w:pPr>
              <w:jc w:val="center"/>
            </w:pPr>
            <w:r>
              <w:rPr>
                <w:rFonts w:ascii="宋体" w:cs="Lucida Sans"/>
                <w:sz w:val="18"/>
              </w:rPr>
              <w:t>开展新品种、新技术试验示范，指导建立新品种、新技术及低产园改造等试验示范基地</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7BAD43">
            <w:pPr>
              <w:jc w:val="center"/>
              <w:rPr>
                <w:rFonts w:ascii="宋体" w:cs="Lucida Sans"/>
                <w:sz w:val="18"/>
              </w:rPr>
            </w:pPr>
            <w:r>
              <w:rPr>
                <w:rFonts w:ascii="宋体" w:cs="Lucida Sans"/>
                <w:sz w:val="18"/>
              </w:rPr>
              <w:t>1</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B1C901">
            <w:pPr>
              <w:jc w:val="center"/>
              <w:rPr>
                <w:rFonts w:ascii="宋体" w:cs="Lucida Sans"/>
                <w:sz w:val="18"/>
              </w:rPr>
            </w:pPr>
            <w:r>
              <w:rPr>
                <w:rFonts w:ascii="宋体" w:cs="Lucida Sans"/>
                <w:sz w:val="18"/>
              </w:rPr>
              <w:t>3</w:t>
            </w:r>
          </w:p>
        </w:tc>
      </w:tr>
      <w:tr w14:paraId="7F12EC12">
        <w:tblPrEx>
          <w:tblCellMar>
            <w:top w:w="0" w:type="dxa"/>
            <w:left w:w="108" w:type="dxa"/>
            <w:bottom w:w="0" w:type="dxa"/>
            <w:right w:w="108" w:type="dxa"/>
          </w:tblCellMar>
        </w:tblPrEx>
        <w:trPr>
          <w:trHeight w:val="704"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1110BF">
            <w:pPr>
              <w:jc w:val="center"/>
              <w:rPr>
                <w:rFonts w:ascii="宋体" w:cs="Lucida Sans"/>
                <w:sz w:val="18"/>
              </w:rPr>
            </w:pPr>
            <w:r>
              <w:rPr>
                <w:rFonts w:ascii="宋体" w:cs="Lucida Sans"/>
                <w:sz w:val="18"/>
              </w:rPr>
              <w:t>7</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926754">
            <w:pPr>
              <w:jc w:val="center"/>
            </w:pPr>
            <w:r>
              <w:rPr>
                <w:rFonts w:ascii="宋体" w:cs="Lucida Sans"/>
                <w:sz w:val="18"/>
              </w:rPr>
              <w:t>全年举办技术培训30次、培训农民1100人次；培养农村实用技术骨干人才不少于10人、科技示范户不少于10户。</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6F4A4E">
            <w:pPr>
              <w:jc w:val="center"/>
              <w:rPr>
                <w:rFonts w:ascii="宋体" w:cs="Lucida Sans"/>
                <w:sz w:val="18"/>
              </w:rPr>
            </w:pPr>
            <w:r>
              <w:rPr>
                <w:rFonts w:ascii="宋体" w:cs="Lucida Sans"/>
                <w:sz w:val="18"/>
              </w:rPr>
              <w:t>1000</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DD6BE6">
            <w:pPr>
              <w:jc w:val="center"/>
              <w:rPr>
                <w:rFonts w:ascii="宋体" w:cs="Lucida Sans"/>
                <w:sz w:val="18"/>
              </w:rPr>
            </w:pPr>
            <w:r>
              <w:rPr>
                <w:rFonts w:ascii="宋体" w:cs="Lucida Sans"/>
                <w:sz w:val="18"/>
              </w:rPr>
              <w:t>1526</w:t>
            </w:r>
          </w:p>
        </w:tc>
      </w:tr>
      <w:tr w14:paraId="736D1D65">
        <w:tblPrEx>
          <w:tblCellMar>
            <w:top w:w="0" w:type="dxa"/>
            <w:left w:w="108" w:type="dxa"/>
            <w:bottom w:w="0" w:type="dxa"/>
            <w:right w:w="108" w:type="dxa"/>
          </w:tblCellMar>
        </w:tblPrEx>
        <w:trPr>
          <w:trHeight w:val="401"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71C218">
            <w:pPr>
              <w:jc w:val="center"/>
              <w:rPr>
                <w:rFonts w:ascii="宋体" w:cs="Lucida Sans"/>
                <w:sz w:val="18"/>
              </w:rPr>
            </w:pPr>
            <w:r>
              <w:rPr>
                <w:rFonts w:ascii="宋体" w:cs="Lucida Sans"/>
                <w:sz w:val="18"/>
              </w:rPr>
              <w:t>8</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439DC1D">
            <w:pPr>
              <w:jc w:val="center"/>
            </w:pPr>
            <w:r>
              <w:rPr>
                <w:rFonts w:ascii="宋体" w:cs="Lucida Sans"/>
                <w:sz w:val="18"/>
              </w:rPr>
              <w:t>现场指导农民、专合社和企业</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D382FD">
            <w:pPr>
              <w:jc w:val="center"/>
              <w:rPr>
                <w:rFonts w:ascii="宋体" w:cs="Lucida Sans"/>
                <w:sz w:val="18"/>
              </w:rPr>
            </w:pPr>
            <w:r>
              <w:rPr>
                <w:rFonts w:ascii="宋体" w:cs="Lucida Sans"/>
                <w:sz w:val="18"/>
              </w:rPr>
              <w:t>15</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E25760">
            <w:pPr>
              <w:jc w:val="center"/>
              <w:rPr>
                <w:rFonts w:ascii="宋体" w:cs="Lucida Sans"/>
                <w:sz w:val="18"/>
              </w:rPr>
            </w:pPr>
            <w:r>
              <w:rPr>
                <w:rFonts w:ascii="宋体" w:cs="Lucida Sans"/>
                <w:sz w:val="18"/>
              </w:rPr>
              <w:t>21</w:t>
            </w:r>
          </w:p>
        </w:tc>
      </w:tr>
      <w:tr w14:paraId="58D458F6">
        <w:tblPrEx>
          <w:tblCellMar>
            <w:top w:w="0" w:type="dxa"/>
            <w:left w:w="108" w:type="dxa"/>
            <w:bottom w:w="0" w:type="dxa"/>
            <w:right w:w="108" w:type="dxa"/>
          </w:tblCellMar>
        </w:tblPrEx>
        <w:trPr>
          <w:trHeight w:val="350"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01EA242">
            <w:pPr>
              <w:jc w:val="center"/>
              <w:rPr>
                <w:rFonts w:ascii="宋体" w:cs="Lucida Sans"/>
                <w:sz w:val="18"/>
              </w:rPr>
            </w:pPr>
            <w:r>
              <w:rPr>
                <w:rFonts w:ascii="宋体" w:cs="Lucida Sans"/>
                <w:sz w:val="18"/>
              </w:rPr>
              <w:t>9</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83B3C7">
            <w:pPr>
              <w:jc w:val="center"/>
            </w:pPr>
            <w:r>
              <w:rPr>
                <w:rFonts w:ascii="宋体" w:cs="Lucida Sans"/>
                <w:sz w:val="18"/>
              </w:rPr>
              <w:t>资金下达后12个月内完成</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862C89">
            <w:pPr>
              <w:jc w:val="center"/>
              <w:rPr>
                <w:rFonts w:ascii="宋体" w:cs="Lucida Sans"/>
                <w:sz w:val="18"/>
              </w:rPr>
            </w:pPr>
            <w:r>
              <w:rPr>
                <w:rFonts w:ascii="宋体" w:cs="Lucida Sans"/>
                <w:sz w:val="18"/>
              </w:rPr>
              <w:t>12</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DF7B58">
            <w:pPr>
              <w:jc w:val="center"/>
              <w:rPr>
                <w:rFonts w:ascii="宋体" w:cs="Lucida Sans"/>
                <w:sz w:val="18"/>
              </w:rPr>
            </w:pPr>
            <w:r>
              <w:rPr>
                <w:rFonts w:ascii="宋体" w:cs="Lucida Sans"/>
                <w:sz w:val="18"/>
              </w:rPr>
              <w:t>12</w:t>
            </w:r>
          </w:p>
        </w:tc>
      </w:tr>
      <w:tr w14:paraId="4F947FF4">
        <w:tblPrEx>
          <w:tblCellMar>
            <w:top w:w="0" w:type="dxa"/>
            <w:left w:w="108" w:type="dxa"/>
            <w:bottom w:w="0" w:type="dxa"/>
            <w:right w:w="108" w:type="dxa"/>
          </w:tblCellMar>
        </w:tblPrEx>
        <w:trPr>
          <w:trHeight w:val="989"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8BB94E">
            <w:pPr>
              <w:jc w:val="center"/>
              <w:rPr>
                <w:rFonts w:ascii="宋体" w:cs="Lucida Sans"/>
                <w:sz w:val="18"/>
              </w:rPr>
            </w:pPr>
            <w:r>
              <w:rPr>
                <w:rFonts w:ascii="宋体" w:cs="Lucida Sans"/>
                <w:sz w:val="18"/>
              </w:rPr>
              <w:t>10</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0E6A58F">
            <w:pPr>
              <w:jc w:val="center"/>
            </w:pPr>
            <w:r>
              <w:rPr>
                <w:rFonts w:ascii="宋体" w:cs="Lucida Sans"/>
                <w:sz w:val="18"/>
              </w:rPr>
              <w:t>通过项目实施，提高农民科技文化素质,推动乡村人才振兴，帮助农户解决芒果种植、病虫害管理、芒果全生育期的肥水管理、芒果采后贮藏保鲜等技术问题</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02EE71">
            <w:pPr>
              <w:jc w:val="center"/>
              <w:rPr>
                <w:rFonts w:ascii="宋体" w:cs="Lucida Sans"/>
                <w:sz w:val="18"/>
              </w:rPr>
            </w:pPr>
            <w:r>
              <w:rPr>
                <w:rFonts w:ascii="宋体" w:cs="Lucida Sans"/>
                <w:sz w:val="18"/>
              </w:rPr>
              <w:t>10</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24F79C">
            <w:pPr>
              <w:jc w:val="center"/>
              <w:rPr>
                <w:rFonts w:ascii="宋体" w:cs="Lucida Sans"/>
                <w:sz w:val="18"/>
              </w:rPr>
            </w:pPr>
            <w:r>
              <w:rPr>
                <w:rFonts w:ascii="宋体" w:cs="Lucida Sans"/>
                <w:sz w:val="18"/>
              </w:rPr>
              <w:t>100</w:t>
            </w:r>
          </w:p>
        </w:tc>
      </w:tr>
      <w:tr w14:paraId="4B75788A">
        <w:tblPrEx>
          <w:tblCellMar>
            <w:top w:w="0" w:type="dxa"/>
            <w:left w:w="108" w:type="dxa"/>
            <w:bottom w:w="0" w:type="dxa"/>
            <w:right w:w="108" w:type="dxa"/>
          </w:tblCellMar>
        </w:tblPrEx>
        <w:trPr>
          <w:trHeight w:val="350" w:hRule="atLeast"/>
        </w:trPr>
        <w:tc>
          <w:tcPr>
            <w:tcW w:w="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F5A8D6">
            <w:pPr>
              <w:jc w:val="center"/>
              <w:rPr>
                <w:rFonts w:ascii="宋体" w:cs="Lucida Sans"/>
                <w:sz w:val="18"/>
              </w:rPr>
            </w:pPr>
            <w:r>
              <w:rPr>
                <w:rFonts w:ascii="宋体" w:cs="Lucida Sans"/>
                <w:sz w:val="18"/>
              </w:rPr>
              <w:t>11</w:t>
            </w:r>
          </w:p>
        </w:tc>
        <w:tc>
          <w:tcPr>
            <w:tcW w:w="50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B9C1FC">
            <w:pPr>
              <w:jc w:val="center"/>
            </w:pPr>
            <w:r>
              <w:rPr>
                <w:rFonts w:ascii="宋体" w:cs="Lucida Sans"/>
                <w:sz w:val="18"/>
              </w:rPr>
              <w:t>农户满意度</w:t>
            </w:r>
          </w:p>
        </w:tc>
        <w:tc>
          <w:tcPr>
            <w:tcW w:w="118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78CD03">
            <w:pPr>
              <w:jc w:val="center"/>
              <w:rPr>
                <w:rFonts w:ascii="宋体" w:cs="Lucida Sans"/>
                <w:sz w:val="18"/>
              </w:rPr>
            </w:pPr>
            <w:r>
              <w:rPr>
                <w:rFonts w:ascii="宋体" w:cs="Lucida Sans"/>
                <w:sz w:val="18"/>
              </w:rPr>
              <w:t>95</w:t>
            </w:r>
          </w:p>
        </w:tc>
        <w:tc>
          <w:tcPr>
            <w:tcW w:w="130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6D2B54">
            <w:pPr>
              <w:jc w:val="center"/>
              <w:rPr>
                <w:rFonts w:ascii="宋体" w:cs="Lucida Sans"/>
                <w:sz w:val="18"/>
              </w:rPr>
            </w:pPr>
            <w:r>
              <w:rPr>
                <w:rFonts w:ascii="宋体" w:cs="Lucida Sans"/>
                <w:sz w:val="18"/>
              </w:rPr>
              <w:t>95</w:t>
            </w:r>
          </w:p>
        </w:tc>
      </w:tr>
    </w:tbl>
    <w:p w14:paraId="68CACBED">
      <w:pPr>
        <w:spacing w:line="578" w:lineRule="exact"/>
        <w:ind w:firstLine="640"/>
        <w:rPr>
          <w:rFonts w:eastAsia="仿宋_GB2312" w:cs="仿宋_GB2312"/>
          <w:b/>
          <w:kern w:val="0"/>
          <w:sz w:val="32"/>
          <w:szCs w:val="32"/>
        </w:rPr>
      </w:pPr>
    </w:p>
    <w:p w14:paraId="0C4DA237">
      <w:pPr>
        <w:spacing w:line="578" w:lineRule="exact"/>
        <w:ind w:firstLine="640"/>
        <w:rPr>
          <w:rFonts w:eastAsia="楷体_GB2312"/>
          <w:b/>
          <w:sz w:val="32"/>
          <w:szCs w:val="32"/>
          <w:lang w:val="zh-CN"/>
        </w:rPr>
      </w:pPr>
      <w:r>
        <w:rPr>
          <w:rFonts w:hint="eastAsia" w:eastAsia="楷体_GB2312"/>
          <w:b/>
          <w:sz w:val="32"/>
          <w:szCs w:val="32"/>
          <w:lang w:val="zh-CN"/>
        </w:rPr>
        <w:t>（二）项目效益情况</w:t>
      </w:r>
    </w:p>
    <w:p w14:paraId="711109FE">
      <w:pPr>
        <w:spacing w:line="578" w:lineRule="exact"/>
        <w:ind w:firstLine="640"/>
        <w:rPr>
          <w:rFonts w:eastAsia="仿宋_GB2312" w:cs="仿宋_GB2312"/>
          <w:kern w:val="0"/>
          <w:sz w:val="32"/>
          <w:szCs w:val="32"/>
        </w:rPr>
      </w:pPr>
      <w:r>
        <w:rPr>
          <w:rFonts w:hint="eastAsia" w:eastAsia="仿宋_GB2312" w:cs="仿宋_GB2312"/>
          <w:kern w:val="0"/>
          <w:sz w:val="32"/>
          <w:szCs w:val="32"/>
        </w:rPr>
        <w:t>通过现场技术指导、示范户培育与技术骨干培养，有效提升了从业人员栽培技术水平，示范带动效应显著。依托示范基地建设，大力推广新品种、新技术，产业技术支撑能力持续增强，群众认可度高。通过深入调研与精准咨询服务，积极为当地蔬菜产业争取发展项目资金，有力推动产业转型升级</w:t>
      </w:r>
      <w:r>
        <w:rPr>
          <w:rFonts w:eastAsia="仿宋_GB2312" w:cs="仿宋_GB2312"/>
          <w:kern w:val="0"/>
          <w:sz w:val="32"/>
          <w:szCs w:val="32"/>
        </w:rPr>
        <w:t>，</w:t>
      </w:r>
      <w:r>
        <w:rPr>
          <w:rFonts w:hint="eastAsia" w:eastAsia="仿宋_GB2312" w:cs="仿宋_GB2312"/>
          <w:kern w:val="0"/>
          <w:sz w:val="32"/>
          <w:szCs w:val="32"/>
        </w:rPr>
        <w:t>进一步扩大了攀枝花蔬菜产业影响力。项目实施后，经济效益、社会效益、生态效益及可持续发展效益均十分突出。</w:t>
      </w:r>
    </w:p>
    <w:p w14:paraId="7968F798">
      <w:pPr>
        <w:adjustRightInd w:val="0"/>
        <w:snapToGrid w:val="0"/>
        <w:spacing w:line="600" w:lineRule="exact"/>
        <w:ind w:firstLine="720"/>
        <w:rPr>
          <w:rFonts w:eastAsia="黑体"/>
          <w:sz w:val="32"/>
          <w:szCs w:val="32"/>
        </w:rPr>
      </w:pPr>
      <w:r>
        <w:rPr>
          <w:rFonts w:eastAsia="黑体"/>
          <w:sz w:val="32"/>
          <w:szCs w:val="32"/>
        </w:rPr>
        <w:t>五、评价结论及建议</w:t>
      </w:r>
    </w:p>
    <w:p w14:paraId="3C108C2B">
      <w:pPr>
        <w:spacing w:line="578" w:lineRule="exact"/>
        <w:ind w:firstLine="640"/>
        <w:rPr>
          <w:rFonts w:eastAsia="仿宋_GB2312" w:cs="仿宋_GB2312"/>
          <w:b/>
          <w:kern w:val="0"/>
          <w:sz w:val="32"/>
          <w:szCs w:val="32"/>
        </w:rPr>
      </w:pPr>
      <w:r>
        <w:rPr>
          <w:rFonts w:eastAsia="楷体_GB2312"/>
          <w:b/>
          <w:sz w:val="32"/>
          <w:szCs w:val="32"/>
          <w:lang w:val="zh-CN"/>
        </w:rPr>
        <w:t>（一）评价结论。</w:t>
      </w:r>
    </w:p>
    <w:p w14:paraId="715BF335">
      <w:pPr>
        <w:spacing w:line="578" w:lineRule="exact"/>
        <w:ind w:firstLine="640"/>
        <w:rPr>
          <w:rFonts w:eastAsia="仿宋_GB2312" w:cs="仿宋_GB2312"/>
          <w:kern w:val="0"/>
          <w:sz w:val="32"/>
          <w:szCs w:val="32"/>
        </w:rPr>
      </w:pPr>
      <w:r>
        <w:rPr>
          <w:rFonts w:hint="eastAsia" w:eastAsia="仿宋_GB2312" w:cs="仿宋_GB2312"/>
          <w:kern w:val="0"/>
          <w:sz w:val="32"/>
          <w:szCs w:val="32"/>
        </w:rPr>
        <w:t>综合项目各方面情况，该项目在实施过程中，管理规范、资金使用合理、绩效目标完成情况良好，在推动芒果、蔬菜产业发展、人才培养、生态保护和社会和谐等方面取得了显著成效，整体绩效评价</w:t>
      </w:r>
      <w:r>
        <w:rPr>
          <w:rFonts w:eastAsia="仿宋_GB2312" w:cs="仿宋_GB2312"/>
          <w:kern w:val="0"/>
          <w:sz w:val="32"/>
          <w:szCs w:val="32"/>
        </w:rPr>
        <w:t>得分为98.12分。</w:t>
      </w:r>
    </w:p>
    <w:p w14:paraId="5320FEE5">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76F547D5">
      <w:pPr>
        <w:spacing w:line="578" w:lineRule="exact"/>
        <w:ind w:firstLine="640"/>
        <w:rPr>
          <w:rFonts w:eastAsia="仿宋_GB2312" w:cs="仿宋_GB2312"/>
          <w:kern w:val="0"/>
          <w:sz w:val="32"/>
          <w:szCs w:val="32"/>
        </w:rPr>
      </w:pPr>
      <w:r>
        <w:rPr>
          <w:rFonts w:hint="eastAsia" w:eastAsia="仿宋_GB2312" w:cs="仿宋_GB2312"/>
          <w:kern w:val="0"/>
          <w:sz w:val="32"/>
          <w:szCs w:val="32"/>
        </w:rPr>
        <w:t>无</w:t>
      </w:r>
      <w:r>
        <w:rPr>
          <w:rFonts w:eastAsia="仿宋_GB2312" w:cs="仿宋_GB2312"/>
          <w:kern w:val="0"/>
          <w:sz w:val="32"/>
          <w:szCs w:val="32"/>
        </w:rPr>
        <w:t>。</w:t>
      </w:r>
    </w:p>
    <w:p w14:paraId="702EF508">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07A6395B">
      <w:pPr>
        <w:spacing w:line="578" w:lineRule="exact"/>
        <w:ind w:firstLine="640"/>
        <w:rPr>
          <w:rFonts w:eastAsia="仿宋_GB2312" w:cs="仿宋_GB2312"/>
          <w:kern w:val="0"/>
          <w:sz w:val="32"/>
          <w:szCs w:val="32"/>
        </w:rPr>
      </w:pPr>
      <w:r>
        <w:rPr>
          <w:rFonts w:hint="eastAsia" w:eastAsia="仿宋_GB2312" w:cs="仿宋_GB2312"/>
          <w:kern w:val="0"/>
          <w:sz w:val="32"/>
          <w:szCs w:val="32"/>
        </w:rPr>
        <w:t>建议在团队资金中设置一定比例的绩效资金，用于激励工作成效突出的专家。</w:t>
      </w:r>
    </w:p>
    <w:p w14:paraId="4645A45F">
      <w:pPr>
        <w:pStyle w:val="37"/>
        <w:spacing w:line="600" w:lineRule="exact"/>
        <w:ind w:left="420"/>
        <w:jc w:val="center"/>
        <w:rPr>
          <w:rFonts w:hint="eastAsia" w:eastAsia="方正小标宋简体"/>
          <w:sz w:val="40"/>
          <w:szCs w:val="40"/>
        </w:rPr>
      </w:pPr>
      <w:r>
        <w:rPr>
          <w:rFonts w:hint="eastAsia" w:eastAsia="方正小标宋简体"/>
          <w:sz w:val="40"/>
          <w:szCs w:val="40"/>
        </w:rPr>
        <w:br w:type="page"/>
      </w:r>
    </w:p>
    <w:p w14:paraId="43D066FC">
      <w:pPr>
        <w:pStyle w:val="37"/>
        <w:spacing w:line="600" w:lineRule="exact"/>
        <w:ind w:left="420"/>
        <w:jc w:val="center"/>
        <w:rPr>
          <w:rFonts w:hint="eastAsia" w:eastAsia="方正小标宋简体"/>
          <w:sz w:val="40"/>
          <w:szCs w:val="40"/>
        </w:rPr>
      </w:pPr>
      <w:r>
        <w:rPr>
          <w:rFonts w:hint="eastAsia" w:eastAsia="方正小标宋简体"/>
          <w:sz w:val="40"/>
          <w:szCs w:val="40"/>
        </w:rPr>
        <w:t>专</w:t>
      </w:r>
      <w:r>
        <w:rPr>
          <w:rFonts w:eastAsia="方正小标宋简体"/>
          <w:sz w:val="40"/>
          <w:szCs w:val="40"/>
        </w:rPr>
        <w:t>项预算项目支出绩效自评报告</w:t>
      </w:r>
    </w:p>
    <w:p w14:paraId="3A39A38E">
      <w:pPr>
        <w:pStyle w:val="37"/>
        <w:spacing w:line="600" w:lineRule="exact"/>
        <w:ind w:left="420"/>
        <w:jc w:val="center"/>
        <w:rPr>
          <w:rFonts w:hint="eastAsia" w:eastAsia="方正小标宋简体"/>
          <w:sz w:val="40"/>
          <w:szCs w:val="40"/>
        </w:rPr>
      </w:pPr>
      <w:r>
        <w:rPr>
          <w:rFonts w:hint="eastAsia" w:eastAsia="方正小标宋简体"/>
          <w:sz w:val="40"/>
          <w:szCs w:val="40"/>
        </w:rPr>
        <w:t>“三区”科技人才支持计划项目</w:t>
      </w:r>
    </w:p>
    <w:p w14:paraId="126B1B68">
      <w:pPr>
        <w:adjustRightInd w:val="0"/>
        <w:snapToGrid w:val="0"/>
        <w:spacing w:line="600" w:lineRule="exact"/>
        <w:ind w:firstLine="720"/>
        <w:rPr>
          <w:rFonts w:eastAsia="黑体"/>
          <w:sz w:val="32"/>
          <w:szCs w:val="32"/>
        </w:rPr>
      </w:pPr>
      <w:r>
        <w:rPr>
          <w:rFonts w:eastAsia="黑体"/>
          <w:sz w:val="32"/>
          <w:szCs w:val="32"/>
        </w:rPr>
        <w:t>一、项目概况</w:t>
      </w:r>
    </w:p>
    <w:p w14:paraId="21A48F8F">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57B45966">
      <w:pPr>
        <w:spacing w:line="578" w:lineRule="exact"/>
        <w:ind w:firstLine="640"/>
        <w:rPr>
          <w:rFonts w:eastAsia="仿宋_GB2312" w:cs="仿宋_GB2312"/>
          <w:kern w:val="0"/>
          <w:sz w:val="32"/>
          <w:szCs w:val="32"/>
        </w:rPr>
      </w:pPr>
      <w:r>
        <w:rPr>
          <w:rFonts w:hint="eastAsia" w:eastAsia="仿宋_GB2312" w:cs="仿宋_GB2312"/>
          <w:b/>
          <w:kern w:val="0"/>
          <w:sz w:val="32"/>
          <w:szCs w:val="32"/>
        </w:rPr>
        <w:t>1</w:t>
      </w:r>
      <w:r>
        <w:rPr>
          <w:rFonts w:eastAsia="仿宋_GB2312" w:cs="仿宋_GB2312"/>
          <w:b/>
          <w:kern w:val="0"/>
          <w:sz w:val="32"/>
          <w:szCs w:val="32"/>
        </w:rPr>
        <w:t>.</w:t>
      </w:r>
      <w:r>
        <w:rPr>
          <w:rFonts w:hint="eastAsia" w:eastAsia="仿宋_GB2312" w:cs="仿宋_GB2312"/>
          <w:b/>
          <w:kern w:val="0"/>
          <w:sz w:val="32"/>
          <w:szCs w:val="32"/>
        </w:rPr>
        <w:t>说明项目主管部门（单位）在该项目管理中的职能。</w:t>
      </w:r>
      <w:r>
        <w:rPr>
          <w:rFonts w:hint="eastAsia" w:eastAsia="仿宋_GB2312" w:cs="仿宋_GB2312"/>
          <w:kern w:val="0"/>
          <w:sz w:val="32"/>
          <w:szCs w:val="32"/>
        </w:rPr>
        <w:t>攀枝花市农林科学研究院作为项目依托单位，负责专家团队管理、技术推广及资金使用。</w:t>
      </w:r>
    </w:p>
    <w:p w14:paraId="4970EDA1">
      <w:pPr>
        <w:spacing w:line="578" w:lineRule="exact"/>
        <w:ind w:firstLine="643" w:firstLineChars="200"/>
        <w:rPr>
          <w:rFonts w:eastAsia="仿宋_GB2312" w:cs="仿宋_GB2312"/>
          <w:kern w:val="0"/>
          <w:sz w:val="32"/>
          <w:szCs w:val="32"/>
        </w:rPr>
      </w:pPr>
      <w:r>
        <w:rPr>
          <w:rFonts w:hint="eastAsia" w:eastAsia="仿宋_GB2312" w:cs="仿宋_GB2312"/>
          <w:b/>
          <w:kern w:val="0"/>
          <w:sz w:val="32"/>
          <w:szCs w:val="32"/>
        </w:rPr>
        <w:t>2</w:t>
      </w:r>
      <w:r>
        <w:rPr>
          <w:rFonts w:eastAsia="仿宋_GB2312" w:cs="仿宋_GB2312"/>
          <w:b/>
          <w:kern w:val="0"/>
          <w:sz w:val="32"/>
          <w:szCs w:val="32"/>
        </w:rPr>
        <w:t>.项目立项、资金申报的依据</w:t>
      </w:r>
      <w:r>
        <w:rPr>
          <w:rFonts w:eastAsia="仿宋_GB2312" w:cs="仿宋_GB2312"/>
          <w:kern w:val="0"/>
          <w:sz w:val="32"/>
          <w:szCs w:val="32"/>
        </w:rPr>
        <w:t>。</w:t>
      </w:r>
      <w:r>
        <w:rPr>
          <w:rFonts w:hint="eastAsia" w:eastAsia="仿宋_GB2312" w:cs="仿宋_GB2312"/>
          <w:kern w:val="0"/>
          <w:sz w:val="32"/>
          <w:szCs w:val="32"/>
        </w:rPr>
        <w:t>蔬菜产业是色达新兴发展产业之一。根据中央和省委关于乡村振兴的决策部署，围绕产业生产关键技术示范推广，增强乡村振兴内生动力。项目资金来源为中央“三区”科技人才支持计划专项资金2万元。</w:t>
      </w:r>
    </w:p>
    <w:p w14:paraId="2AD57A52">
      <w:pPr>
        <w:spacing w:line="578" w:lineRule="exact"/>
        <w:ind w:firstLine="643" w:firstLineChars="200"/>
        <w:rPr>
          <w:rFonts w:eastAsia="仿宋_GB2312" w:cs="仿宋_GB2312"/>
          <w:kern w:val="0"/>
          <w:sz w:val="32"/>
          <w:szCs w:val="32"/>
        </w:rPr>
      </w:pPr>
      <w:r>
        <w:rPr>
          <w:rFonts w:hint="eastAsia" w:eastAsia="仿宋_GB2312" w:cs="仿宋_GB2312"/>
          <w:b/>
          <w:kern w:val="0"/>
          <w:sz w:val="32"/>
          <w:szCs w:val="32"/>
        </w:rPr>
        <w:t>3</w:t>
      </w:r>
      <w:r>
        <w:rPr>
          <w:rFonts w:eastAsia="仿宋_GB2312" w:cs="仿宋_GB2312"/>
          <w:b/>
          <w:kern w:val="0"/>
          <w:sz w:val="32"/>
          <w:szCs w:val="32"/>
        </w:rPr>
        <w:t>.资金管理办法制定情况，资金支持具体项目的条件、范围与支持方式概况</w:t>
      </w:r>
      <w:r>
        <w:rPr>
          <w:rFonts w:hint="eastAsia" w:eastAsia="仿宋_GB2312" w:cs="仿宋_GB2312"/>
          <w:b/>
          <w:kern w:val="0"/>
          <w:sz w:val="32"/>
          <w:szCs w:val="32"/>
        </w:rPr>
        <w:t>。</w:t>
      </w:r>
      <w:r>
        <w:rPr>
          <w:rFonts w:hint="eastAsia" w:eastAsia="仿宋_GB2312" w:cs="仿宋_GB2312"/>
          <w:kern w:val="0"/>
          <w:sz w:val="32"/>
          <w:szCs w:val="32"/>
        </w:rPr>
        <w:t>严格按照四川省科技计划项目管理办法及相应的经费管理规定等相关法规开展相关研究和经费管理，单位制定了《全院非政府采购类项目的采购管理暂行办法》《攀枝花市农林科学研究固定资产暂行管理办法》《攀枝花市农林科学研究院差旅费管理办法》《攀枝花市农林科学研究院临时用工管理办法》。确保项目资金的使用安全、规范、有效，资金支付范围、支付标准、支付进度、支付依据等合规合法</w:t>
      </w:r>
      <w:r>
        <w:rPr>
          <w:rFonts w:eastAsia="仿宋_GB2312" w:cs="仿宋_GB2312"/>
          <w:kern w:val="0"/>
          <w:sz w:val="32"/>
          <w:szCs w:val="32"/>
        </w:rPr>
        <w:t>。</w:t>
      </w:r>
    </w:p>
    <w:p w14:paraId="71459530">
      <w:pPr>
        <w:spacing w:line="578" w:lineRule="exact"/>
        <w:rPr>
          <w:rFonts w:eastAsia="仿宋_GB2312" w:cs="仿宋_GB2312"/>
          <w:kern w:val="0"/>
          <w:sz w:val="32"/>
          <w:szCs w:val="32"/>
        </w:rPr>
      </w:pPr>
      <w:r>
        <w:rPr>
          <w:rFonts w:hint="eastAsia" w:eastAsia="仿宋_GB2312" w:cs="仿宋_GB2312"/>
          <w:b/>
          <w:kern w:val="0"/>
          <w:sz w:val="32"/>
          <w:szCs w:val="32"/>
        </w:rPr>
        <w:t>4</w:t>
      </w:r>
      <w:r>
        <w:rPr>
          <w:rFonts w:eastAsia="仿宋_GB2312" w:cs="仿宋_GB2312"/>
          <w:b/>
          <w:kern w:val="0"/>
          <w:sz w:val="32"/>
          <w:szCs w:val="32"/>
        </w:rPr>
        <w:t>.资金分配的原则及考虑因素。</w:t>
      </w:r>
      <w:r>
        <w:rPr>
          <w:rFonts w:hint="eastAsia" w:eastAsia="仿宋_GB2312" w:cs="仿宋_GB2312"/>
          <w:kern w:val="0"/>
          <w:sz w:val="32"/>
          <w:szCs w:val="32"/>
        </w:rPr>
        <w:t>本项目资金差旅费0.5万元，用于交通。劳务费1.5万元，主要用于示范品种管理。培训资料费0.4万元，提高种植水平所需技术资料。材料费0.1万元。</w:t>
      </w:r>
    </w:p>
    <w:p w14:paraId="1C5325AB">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4464166B">
      <w:pPr>
        <w:spacing w:line="578" w:lineRule="exact"/>
        <w:ind w:firstLine="640"/>
        <w:rPr>
          <w:rFonts w:eastAsia="仿宋_GB2312" w:cs="仿宋_GB2312"/>
          <w:b/>
          <w:kern w:val="0"/>
          <w:sz w:val="32"/>
          <w:szCs w:val="32"/>
        </w:rPr>
      </w:pPr>
      <w:r>
        <w:rPr>
          <w:rFonts w:eastAsia="仿宋_GB2312" w:cs="仿宋_GB2312"/>
          <w:b/>
          <w:kern w:val="0"/>
          <w:sz w:val="32"/>
          <w:szCs w:val="32"/>
        </w:rPr>
        <w:t>1. 项目主要内容。</w:t>
      </w:r>
      <w:r>
        <w:rPr>
          <w:rFonts w:hint="eastAsia" w:eastAsia="仿宋_GB2312" w:cs="仿宋_GB2312"/>
          <w:kern w:val="0"/>
          <w:sz w:val="32"/>
          <w:szCs w:val="32"/>
        </w:rPr>
        <w:t>蔬菜新品种新技术示范，技术咨询服务。</w:t>
      </w:r>
    </w:p>
    <w:p w14:paraId="405135C6">
      <w:pPr>
        <w:spacing w:line="578" w:lineRule="exact"/>
        <w:ind w:firstLine="643" w:firstLineChars="20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 项目应实现的具体绩效目标，包括目标的量化、细化情况以及项目实施进度计划等。</w:t>
      </w:r>
      <w:r>
        <w:rPr>
          <w:rFonts w:eastAsia="仿宋_GB2312" w:cs="仿宋_GB2312"/>
          <w:kern w:val="0"/>
          <w:sz w:val="32"/>
          <w:szCs w:val="32"/>
        </w:rPr>
        <w:t>示范蔬菜新品种</w:t>
      </w:r>
      <w:r>
        <w:rPr>
          <w:rFonts w:hint="eastAsia" w:eastAsia="仿宋_GB2312" w:cs="仿宋_GB2312"/>
          <w:kern w:val="0"/>
          <w:sz w:val="32"/>
          <w:szCs w:val="32"/>
        </w:rPr>
        <w:t>8</w:t>
      </w:r>
      <w:r>
        <w:rPr>
          <w:rFonts w:eastAsia="仿宋_GB2312" w:cs="仿宋_GB2312"/>
          <w:kern w:val="0"/>
          <w:sz w:val="32"/>
          <w:szCs w:val="32"/>
        </w:rPr>
        <w:t>个以上，新技术1项，培</w:t>
      </w:r>
      <w:r>
        <w:rPr>
          <w:rFonts w:hint="eastAsia" w:eastAsia="仿宋_GB2312" w:cs="仿宋_GB2312"/>
          <w:kern w:val="0"/>
          <w:sz w:val="32"/>
          <w:szCs w:val="32"/>
        </w:rPr>
        <w:t>训</w:t>
      </w:r>
      <w:r>
        <w:rPr>
          <w:rFonts w:eastAsia="仿宋_GB2312" w:cs="仿宋_GB2312"/>
          <w:kern w:val="0"/>
          <w:sz w:val="32"/>
          <w:szCs w:val="32"/>
        </w:rPr>
        <w:t>本土人员</w:t>
      </w:r>
      <w:r>
        <w:rPr>
          <w:rFonts w:hint="eastAsia" w:eastAsia="仿宋_GB2312" w:cs="仿宋_GB2312"/>
          <w:kern w:val="0"/>
          <w:sz w:val="32"/>
          <w:szCs w:val="32"/>
        </w:rPr>
        <w:t>30</w:t>
      </w:r>
      <w:r>
        <w:rPr>
          <w:rFonts w:eastAsia="仿宋_GB2312" w:cs="仿宋_GB2312"/>
          <w:kern w:val="0"/>
          <w:sz w:val="32"/>
          <w:szCs w:val="32"/>
        </w:rPr>
        <w:t>人，</w:t>
      </w:r>
      <w:r>
        <w:rPr>
          <w:rFonts w:hint="eastAsia" w:eastAsia="仿宋_GB2312" w:cs="仿宋_GB2312"/>
          <w:kern w:val="0"/>
          <w:sz w:val="32"/>
          <w:szCs w:val="32"/>
        </w:rPr>
        <w:t>收集当地野菜资源</w:t>
      </w:r>
      <w:r>
        <w:rPr>
          <w:rFonts w:eastAsia="仿宋_GB2312" w:cs="仿宋_GB2312"/>
          <w:kern w:val="0"/>
          <w:sz w:val="32"/>
          <w:szCs w:val="32"/>
        </w:rPr>
        <w:t>4</w:t>
      </w:r>
      <w:r>
        <w:rPr>
          <w:rFonts w:hint="eastAsia" w:eastAsia="仿宋_GB2312" w:cs="仿宋_GB2312"/>
          <w:kern w:val="0"/>
          <w:sz w:val="32"/>
          <w:szCs w:val="32"/>
        </w:rPr>
        <w:t>份，</w:t>
      </w:r>
      <w:r>
        <w:rPr>
          <w:rFonts w:eastAsia="仿宋_GB2312" w:cs="仿宋_GB2312"/>
          <w:kern w:val="0"/>
          <w:sz w:val="32"/>
          <w:szCs w:val="32"/>
        </w:rPr>
        <w:t>服务当地农业企业2家。</w:t>
      </w:r>
    </w:p>
    <w:p w14:paraId="37C378D2">
      <w:pPr>
        <w:spacing w:line="578" w:lineRule="exact"/>
        <w:rPr>
          <w:rFonts w:eastAsia="仿宋_GB2312" w:cs="仿宋_GB2312"/>
          <w:b/>
          <w:kern w:val="0"/>
          <w:sz w:val="32"/>
          <w:szCs w:val="32"/>
        </w:rPr>
      </w:pPr>
      <w:r>
        <w:rPr>
          <w:rFonts w:hint="eastAsia" w:eastAsia="仿宋_GB2312" w:cs="仿宋_GB2312"/>
          <w:b/>
          <w:kern w:val="0"/>
          <w:sz w:val="32"/>
          <w:szCs w:val="32"/>
        </w:rPr>
        <w:t>3</w:t>
      </w:r>
      <w:r>
        <w:rPr>
          <w:rFonts w:eastAsia="仿宋_GB2312" w:cs="仿宋_GB2312"/>
          <w:b/>
          <w:kern w:val="0"/>
          <w:sz w:val="32"/>
          <w:szCs w:val="32"/>
        </w:rPr>
        <w:t>.分析评价申报内容是否与实际相符，申报目标是否合理可行。</w:t>
      </w:r>
      <w:r>
        <w:rPr>
          <w:rFonts w:hint="eastAsia" w:eastAsia="仿宋_GB2312" w:cs="仿宋_GB2312"/>
          <w:kern w:val="0"/>
          <w:sz w:val="32"/>
          <w:szCs w:val="32"/>
        </w:rPr>
        <w:t>项目申报内容与色达蔬菜产业发展</w:t>
      </w:r>
      <w:r>
        <w:rPr>
          <w:rFonts w:eastAsia="仿宋_GB2312" w:cs="仿宋_GB2312"/>
          <w:kern w:val="0"/>
          <w:sz w:val="32"/>
          <w:szCs w:val="32"/>
        </w:rPr>
        <w:t>实际相符</w:t>
      </w:r>
      <w:r>
        <w:rPr>
          <w:rFonts w:hint="eastAsia" w:eastAsia="仿宋_GB2312" w:cs="仿宋_GB2312"/>
          <w:kern w:val="0"/>
          <w:sz w:val="32"/>
          <w:szCs w:val="32"/>
        </w:rPr>
        <w:t>，色达县以畜牧业为主，近年来随着文旅产业的发展，高原蔬菜产业发展成为当地乡村振兴的产业之一，制约蔬菜产业发展的新品种新技术急需解决，筛选适宜品种、开发当地野生蔬菜、培育技术骨干、龙头企业带动产业发展成为目前急需解决的问题，因此项目</w:t>
      </w:r>
      <w:r>
        <w:rPr>
          <w:rFonts w:eastAsia="仿宋_GB2312" w:cs="仿宋_GB2312"/>
          <w:kern w:val="0"/>
          <w:sz w:val="32"/>
          <w:szCs w:val="32"/>
        </w:rPr>
        <w:t>申报目标合理可行。</w:t>
      </w:r>
    </w:p>
    <w:p w14:paraId="3AA1BFEE">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7CBBE1E9">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项目绩效自评采用的组织实施步骤及方法：根据项目情况和评价重点，采用案卷研究法、单位自评法等多种方法。</w:t>
      </w:r>
    </w:p>
    <w:p w14:paraId="488EDB5A">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75141126">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7D5CD461">
      <w:pPr>
        <w:spacing w:line="578" w:lineRule="exact"/>
        <w:ind w:firstLine="640"/>
        <w:rPr>
          <w:rFonts w:eastAsia="仿宋_GB2312" w:cs="仿宋_GB2312"/>
          <w:kern w:val="0"/>
          <w:sz w:val="32"/>
          <w:szCs w:val="32"/>
        </w:rPr>
      </w:pPr>
      <w:r>
        <w:rPr>
          <w:rFonts w:eastAsia="仿宋_GB2312" w:cs="仿宋_GB2312"/>
          <w:kern w:val="0"/>
          <w:sz w:val="32"/>
          <w:szCs w:val="32"/>
        </w:rPr>
        <w:t>项目资金申报、批复</w:t>
      </w:r>
      <w:r>
        <w:rPr>
          <w:rFonts w:hint="eastAsia" w:eastAsia="仿宋_GB2312" w:cs="仿宋_GB2312"/>
          <w:kern w:val="0"/>
          <w:sz w:val="32"/>
          <w:szCs w:val="32"/>
        </w:rPr>
        <w:t>资金2万元，没有</w:t>
      </w:r>
      <w:r>
        <w:rPr>
          <w:rFonts w:eastAsia="仿宋_GB2312" w:cs="仿宋_GB2312"/>
          <w:kern w:val="0"/>
          <w:sz w:val="32"/>
          <w:szCs w:val="32"/>
        </w:rPr>
        <w:t>预算调整情况。</w:t>
      </w:r>
      <w:r>
        <w:rPr>
          <w:rFonts w:hint="eastAsia" w:eastAsia="仿宋_GB2312" w:cs="仿宋_GB2312"/>
          <w:kern w:val="0"/>
          <w:sz w:val="32"/>
          <w:szCs w:val="32"/>
        </w:rPr>
        <w:t>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项目经费手续完整、程序合规。</w:t>
      </w:r>
    </w:p>
    <w:p w14:paraId="436CB888">
      <w:pPr>
        <w:spacing w:line="578" w:lineRule="exact"/>
        <w:ind w:firstLine="640"/>
        <w:rPr>
          <w:rFonts w:eastAsia="仿宋_GB2312" w:cs="仿宋_GB2312"/>
          <w:b/>
          <w:kern w:val="0"/>
          <w:sz w:val="32"/>
          <w:szCs w:val="32"/>
        </w:rPr>
      </w:pPr>
      <w:r>
        <w:rPr>
          <w:rFonts w:eastAsia="仿宋_GB2312" w:cs="仿宋_GB2312"/>
          <w:b/>
          <w:kern w:val="0"/>
          <w:sz w:val="32"/>
          <w:szCs w:val="32"/>
        </w:rPr>
        <w:t>（二）资金计划、到位及使用情况。</w:t>
      </w:r>
    </w:p>
    <w:p w14:paraId="2F96FCDC">
      <w:pPr>
        <w:spacing w:line="578" w:lineRule="exact"/>
        <w:ind w:firstLine="640"/>
        <w:rPr>
          <w:rFonts w:eastAsia="仿宋_GB2312" w:cs="仿宋_GB2312"/>
          <w:kern w:val="0"/>
          <w:sz w:val="32"/>
          <w:szCs w:val="32"/>
        </w:rPr>
      </w:pPr>
      <w:r>
        <w:rPr>
          <w:rFonts w:hint="eastAsia" w:eastAsia="仿宋_GB2312" w:cs="仿宋_GB2312"/>
          <w:b/>
          <w:kern w:val="0"/>
          <w:sz w:val="32"/>
          <w:szCs w:val="32"/>
        </w:rPr>
        <w:t>1．资金计划。</w:t>
      </w:r>
      <w:r>
        <w:rPr>
          <w:rFonts w:hint="eastAsia" w:eastAsia="仿宋_GB2312" w:cs="仿宋_GB2312"/>
          <w:kern w:val="0"/>
          <w:sz w:val="32"/>
          <w:szCs w:val="32"/>
        </w:rPr>
        <w:t>本项目总预算2万元，主要解决专家到色达的差旅、培训、材料费、劳务等费用。</w:t>
      </w:r>
    </w:p>
    <w:p w14:paraId="20516B0C">
      <w:pPr>
        <w:spacing w:line="578" w:lineRule="exact"/>
        <w:ind w:firstLine="640"/>
        <w:rPr>
          <w:rFonts w:eastAsia="仿宋_GB2312" w:cs="仿宋_GB2312"/>
          <w:kern w:val="0"/>
          <w:sz w:val="32"/>
          <w:szCs w:val="32"/>
        </w:rPr>
      </w:pPr>
      <w:r>
        <w:rPr>
          <w:rFonts w:hint="eastAsia" w:eastAsia="仿宋_GB2312" w:cs="仿宋_GB2312"/>
          <w:b/>
          <w:kern w:val="0"/>
          <w:sz w:val="32"/>
          <w:szCs w:val="32"/>
        </w:rPr>
        <w:t>2．资金到位及使用。</w:t>
      </w:r>
      <w:r>
        <w:rPr>
          <w:rFonts w:hint="eastAsia" w:eastAsia="仿宋_GB2312" w:cs="仿宋_GB2312"/>
          <w:kern w:val="0"/>
          <w:sz w:val="32"/>
          <w:szCs w:val="32"/>
        </w:rPr>
        <w:t>项目资金到位时间为2024年10月，差旅费开支0.2528万元，劳务费1.42万元。</w:t>
      </w:r>
      <w:r>
        <w:rPr>
          <w:rFonts w:eastAsia="仿宋_GB2312" w:cs="仿宋_GB2312"/>
          <w:kern w:val="0"/>
          <w:sz w:val="32"/>
          <w:szCs w:val="32"/>
        </w:rPr>
        <w:t>因</w:t>
      </w:r>
      <w:r>
        <w:rPr>
          <w:rFonts w:hint="eastAsia" w:eastAsia="仿宋_GB2312" w:cs="仿宋_GB2312"/>
          <w:kern w:val="0"/>
          <w:sz w:val="32"/>
          <w:szCs w:val="32"/>
        </w:rPr>
        <w:t>项目负责人</w:t>
      </w:r>
      <w:r>
        <w:rPr>
          <w:rFonts w:eastAsia="仿宋_GB2312" w:cs="仿宋_GB2312"/>
          <w:kern w:val="0"/>
          <w:sz w:val="32"/>
          <w:szCs w:val="32"/>
        </w:rPr>
        <w:t>还承担了国家大宗蔬菜攀枝花综合试验站工作，试验站工作中包含了到色达开展技术服务的内容，因此本项目的材料费、差旅费（到成都参加色达帮扶工作总结及部署会）等在先期到帐的攀枝花综合试验站项目中开支。</w:t>
      </w:r>
    </w:p>
    <w:p w14:paraId="63FCD07C">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6AE07A4C">
      <w:pPr>
        <w:spacing w:line="578" w:lineRule="exact"/>
        <w:ind w:firstLine="640"/>
        <w:rPr>
          <w:rFonts w:eastAsia="仿宋_GB2312" w:cs="仿宋_GB2312"/>
          <w:kern w:val="0"/>
          <w:sz w:val="32"/>
          <w:szCs w:val="32"/>
        </w:rPr>
      </w:pPr>
      <w:r>
        <w:rPr>
          <w:rFonts w:eastAsia="仿宋_GB2312" w:cs="仿宋_GB2312"/>
          <w:kern w:val="0"/>
          <w:sz w:val="32"/>
          <w:szCs w:val="32"/>
        </w:rPr>
        <w:t>单位</w:t>
      </w:r>
      <w:r>
        <w:rPr>
          <w:rFonts w:hint="eastAsia" w:eastAsia="仿宋_GB2312" w:cs="仿宋_GB2312"/>
          <w:kern w:val="0"/>
          <w:sz w:val="32"/>
          <w:szCs w:val="32"/>
        </w:rPr>
        <w:t>项目资金严格按照省、市科技资金的使用要求进行开支，每一笔开支均实行三级监管（项目组—财务—分管副院长），攀枝花市农林院</w:t>
      </w:r>
      <w:r>
        <w:rPr>
          <w:rFonts w:eastAsia="仿宋_GB2312" w:cs="仿宋_GB2312"/>
          <w:kern w:val="0"/>
          <w:sz w:val="32"/>
          <w:szCs w:val="32"/>
        </w:rPr>
        <w:t>制定了</w:t>
      </w:r>
      <w:r>
        <w:rPr>
          <w:rFonts w:hint="eastAsia" w:eastAsia="仿宋_GB2312" w:cs="仿宋_GB2312"/>
          <w:kern w:val="0"/>
          <w:sz w:val="32"/>
          <w:szCs w:val="32"/>
        </w:rPr>
        <w:t>《全院非政府采购类项目的采购管理暂行办法》（攀农林[2021]26号文）</w:t>
      </w:r>
      <w:r>
        <w:rPr>
          <w:rFonts w:eastAsia="仿宋_GB2312" w:cs="仿宋_GB2312"/>
          <w:kern w:val="0"/>
          <w:sz w:val="32"/>
          <w:szCs w:val="32"/>
        </w:rPr>
        <w:t>，保障项目资金使用合规。</w:t>
      </w:r>
    </w:p>
    <w:p w14:paraId="3718AC31">
      <w:pPr>
        <w:pStyle w:val="30"/>
        <w:numPr>
          <w:ilvl w:val="0"/>
          <w:numId w:val="4"/>
        </w:numPr>
        <w:adjustRightInd w:val="0"/>
        <w:snapToGrid w:val="0"/>
        <w:spacing w:line="600" w:lineRule="exact"/>
        <w:ind w:firstLineChars="0"/>
        <w:rPr>
          <w:rFonts w:eastAsia="黑体"/>
          <w:sz w:val="32"/>
          <w:szCs w:val="32"/>
        </w:rPr>
      </w:pPr>
      <w:r>
        <w:rPr>
          <w:rFonts w:eastAsia="黑体"/>
          <w:sz w:val="32"/>
          <w:szCs w:val="32"/>
        </w:rPr>
        <w:t>项目实施及管理情况</w:t>
      </w:r>
    </w:p>
    <w:p w14:paraId="063AFECE">
      <w:pPr>
        <w:spacing w:line="578" w:lineRule="exact"/>
        <w:ind w:firstLine="640"/>
        <w:rPr>
          <w:rFonts w:eastAsia="仿宋_GB2312" w:cs="仿宋_GB2312"/>
          <w:b/>
          <w:kern w:val="0"/>
          <w:sz w:val="32"/>
          <w:szCs w:val="32"/>
        </w:rPr>
      </w:pPr>
      <w:r>
        <w:rPr>
          <w:rFonts w:hint="eastAsia" w:eastAsia="仿宋_GB2312" w:cs="仿宋_GB2312"/>
          <w:b/>
          <w:kern w:val="0"/>
          <w:sz w:val="32"/>
          <w:szCs w:val="32"/>
        </w:rPr>
        <w:t>（一）</w:t>
      </w:r>
      <w:r>
        <w:rPr>
          <w:rFonts w:eastAsia="仿宋_GB2312" w:cs="仿宋_GB2312"/>
          <w:b/>
          <w:kern w:val="0"/>
          <w:sz w:val="32"/>
          <w:szCs w:val="32"/>
        </w:rPr>
        <w:t>项目组织架构及实施流程。</w:t>
      </w:r>
    </w:p>
    <w:p w14:paraId="62AEF33F">
      <w:pPr>
        <w:spacing w:line="578" w:lineRule="exact"/>
        <w:ind w:firstLine="640"/>
        <w:rPr>
          <w:rFonts w:eastAsia="仿宋_GB2312" w:cs="仿宋_GB2312"/>
          <w:b/>
          <w:kern w:val="0"/>
          <w:sz w:val="32"/>
          <w:szCs w:val="32"/>
        </w:rPr>
      </w:pPr>
      <w:r>
        <w:rPr>
          <w:rFonts w:hint="eastAsia" w:eastAsia="仿宋_GB2312" w:cs="仿宋_GB2312"/>
          <w:kern w:val="0"/>
          <w:sz w:val="32"/>
          <w:szCs w:val="32"/>
        </w:rPr>
        <w:t>1、项目组织架构及实施流程。</w:t>
      </w:r>
    </w:p>
    <w:p w14:paraId="58406FF7">
      <w:pPr>
        <w:spacing w:line="578" w:lineRule="exact"/>
        <w:ind w:firstLine="640"/>
        <w:rPr>
          <w:rFonts w:eastAsia="仿宋_GB2312" w:cs="仿宋_GB2312"/>
          <w:kern w:val="0"/>
          <w:sz w:val="32"/>
          <w:szCs w:val="32"/>
        </w:rPr>
      </w:pPr>
      <w:r>
        <w:rPr>
          <w:rFonts w:eastAsia="仿宋_GB2312" w:cs="仿宋_GB2312"/>
          <w:kern w:val="0"/>
          <w:sz w:val="32"/>
          <w:szCs w:val="32"/>
        </w:rPr>
        <w:t>评价组人员构成</w:t>
      </w:r>
      <w:r>
        <w:rPr>
          <w:rFonts w:hint="eastAsia" w:eastAsia="仿宋_GB2312" w:cs="仿宋_GB2312"/>
          <w:kern w:val="0"/>
          <w:sz w:val="32"/>
          <w:szCs w:val="32"/>
        </w:rPr>
        <w:t>和</w:t>
      </w:r>
      <w:r>
        <w:rPr>
          <w:rFonts w:eastAsia="仿宋_GB2312" w:cs="仿宋_GB2312"/>
          <w:kern w:val="0"/>
          <w:sz w:val="32"/>
          <w:szCs w:val="32"/>
        </w:rPr>
        <w:t>职责分工见下表</w:t>
      </w:r>
      <w:r>
        <w:rPr>
          <w:rFonts w:hint="eastAsia" w:eastAsia="仿宋_GB2312" w:cs="仿宋_GB2312"/>
          <w:kern w:val="0"/>
          <w:sz w:val="32"/>
          <w:szCs w:val="32"/>
        </w:rPr>
        <w:t>。</w:t>
      </w:r>
    </w:p>
    <w:tbl>
      <w:tblPr>
        <w:tblStyle w:val="18"/>
        <w:tblW w:w="813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4864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715" w:type="dxa"/>
            <w:tcBorders>
              <w:tl2br w:val="nil"/>
              <w:tr2bl w:val="nil"/>
            </w:tcBorders>
            <w:vAlign w:val="center"/>
          </w:tcPr>
          <w:p w14:paraId="6B7713AA">
            <w:pPr>
              <w:adjustRightInd w:val="0"/>
              <w:snapToGrid w:val="0"/>
              <w:spacing w:line="360" w:lineRule="auto"/>
              <w:jc w:val="center"/>
              <w:rPr>
                <w:sz w:val="24"/>
              </w:rPr>
            </w:pPr>
            <w:r>
              <w:rPr>
                <w:sz w:val="24"/>
              </w:rPr>
              <w:t>姓  名</w:t>
            </w:r>
          </w:p>
        </w:tc>
        <w:tc>
          <w:tcPr>
            <w:tcW w:w="6416" w:type="dxa"/>
            <w:tcBorders>
              <w:tl2br w:val="nil"/>
              <w:tr2bl w:val="nil"/>
            </w:tcBorders>
            <w:vAlign w:val="center"/>
          </w:tcPr>
          <w:p w14:paraId="6FA36C21">
            <w:pPr>
              <w:adjustRightInd w:val="0"/>
              <w:snapToGrid w:val="0"/>
              <w:spacing w:line="360" w:lineRule="auto"/>
              <w:jc w:val="center"/>
              <w:rPr>
                <w:sz w:val="24"/>
              </w:rPr>
            </w:pPr>
            <w:r>
              <w:rPr>
                <w:sz w:val="24"/>
              </w:rPr>
              <w:t>职责分工</w:t>
            </w:r>
          </w:p>
        </w:tc>
      </w:tr>
      <w:tr w14:paraId="63ED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00107971">
            <w:pPr>
              <w:adjustRightInd w:val="0"/>
              <w:snapToGrid w:val="0"/>
              <w:spacing w:line="360" w:lineRule="auto"/>
              <w:jc w:val="center"/>
              <w:rPr>
                <w:sz w:val="24"/>
              </w:rPr>
            </w:pPr>
            <w:r>
              <w:rPr>
                <w:sz w:val="24"/>
              </w:rPr>
              <w:t>杨晓峰</w:t>
            </w:r>
          </w:p>
        </w:tc>
        <w:tc>
          <w:tcPr>
            <w:tcW w:w="6416" w:type="dxa"/>
            <w:tcBorders>
              <w:tl2br w:val="nil"/>
              <w:tr2bl w:val="nil"/>
            </w:tcBorders>
            <w:vAlign w:val="center"/>
          </w:tcPr>
          <w:p w14:paraId="3EA6BD7E">
            <w:pPr>
              <w:adjustRightInd w:val="0"/>
              <w:snapToGrid w:val="0"/>
              <w:spacing w:line="360" w:lineRule="auto"/>
              <w:jc w:val="center"/>
              <w:rPr>
                <w:sz w:val="24"/>
              </w:rPr>
            </w:pPr>
            <w:r>
              <w:rPr>
                <w:sz w:val="24"/>
              </w:rPr>
              <w:t>组长，负责蔬菜团队评价的全面工作。</w:t>
            </w:r>
          </w:p>
        </w:tc>
      </w:tr>
      <w:tr w14:paraId="7830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6F631D62">
            <w:pPr>
              <w:adjustRightInd w:val="0"/>
              <w:snapToGrid w:val="0"/>
              <w:spacing w:line="360" w:lineRule="auto"/>
              <w:jc w:val="center"/>
              <w:rPr>
                <w:sz w:val="24"/>
              </w:rPr>
            </w:pPr>
            <w:r>
              <w:rPr>
                <w:rFonts w:hint="eastAsia"/>
                <w:sz w:val="24"/>
              </w:rPr>
              <w:t>杜宣延</w:t>
            </w:r>
          </w:p>
        </w:tc>
        <w:tc>
          <w:tcPr>
            <w:tcW w:w="6416" w:type="dxa"/>
            <w:tcBorders>
              <w:tl2br w:val="nil"/>
              <w:tr2bl w:val="nil"/>
            </w:tcBorders>
            <w:vAlign w:val="center"/>
          </w:tcPr>
          <w:p w14:paraId="5F02ECF4">
            <w:pPr>
              <w:adjustRightInd w:val="0"/>
              <w:snapToGrid w:val="0"/>
              <w:spacing w:line="360" w:lineRule="auto"/>
              <w:jc w:val="center"/>
              <w:rPr>
                <w:sz w:val="24"/>
              </w:rPr>
            </w:pPr>
            <w:r>
              <w:rPr>
                <w:sz w:val="24"/>
              </w:rPr>
              <w:t>副组长，团队评价材料收集、整理。</w:t>
            </w:r>
          </w:p>
        </w:tc>
      </w:tr>
      <w:tr w14:paraId="6C11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715" w:type="dxa"/>
            <w:tcBorders>
              <w:tl2br w:val="nil"/>
              <w:tr2bl w:val="nil"/>
            </w:tcBorders>
            <w:vAlign w:val="center"/>
          </w:tcPr>
          <w:p w14:paraId="4A9AC0EF">
            <w:pPr>
              <w:adjustRightInd w:val="0"/>
              <w:snapToGrid w:val="0"/>
              <w:spacing w:line="360" w:lineRule="auto"/>
              <w:jc w:val="center"/>
              <w:rPr>
                <w:sz w:val="24"/>
              </w:rPr>
            </w:pPr>
            <w:r>
              <w:rPr>
                <w:sz w:val="24"/>
              </w:rPr>
              <w:t>黄艳</w:t>
            </w:r>
          </w:p>
        </w:tc>
        <w:tc>
          <w:tcPr>
            <w:tcW w:w="6416" w:type="dxa"/>
            <w:tcBorders>
              <w:tl2br w:val="nil"/>
              <w:tr2bl w:val="nil"/>
            </w:tcBorders>
            <w:vAlign w:val="center"/>
          </w:tcPr>
          <w:p w14:paraId="6745D5D1">
            <w:pPr>
              <w:adjustRightInd w:val="0"/>
              <w:snapToGrid w:val="0"/>
              <w:spacing w:line="360" w:lineRule="auto"/>
              <w:jc w:val="center"/>
              <w:rPr>
                <w:sz w:val="24"/>
              </w:rPr>
            </w:pPr>
            <w:r>
              <w:rPr>
                <w:sz w:val="24"/>
              </w:rPr>
              <w:t>成员，协助蔬菜团队评价材料收集、整理。</w:t>
            </w:r>
          </w:p>
        </w:tc>
      </w:tr>
    </w:tbl>
    <w:p w14:paraId="30EDF26F">
      <w:pPr>
        <w:spacing w:line="578" w:lineRule="exact"/>
        <w:ind w:firstLine="640"/>
        <w:rPr>
          <w:rFonts w:eastAsia="仿宋_GB2312" w:cs="仿宋_GB2312"/>
          <w:kern w:val="0"/>
          <w:sz w:val="32"/>
          <w:szCs w:val="32"/>
        </w:rPr>
      </w:pPr>
      <w:r>
        <w:rPr>
          <w:rFonts w:hint="eastAsia" w:eastAsia="仿宋_GB2312" w:cs="仿宋_GB2312"/>
          <w:kern w:val="0"/>
          <w:sz w:val="32"/>
          <w:szCs w:val="32"/>
        </w:rPr>
        <w:t>2.实施流程</w:t>
      </w:r>
    </w:p>
    <w:p w14:paraId="1564C5C1">
      <w:pPr>
        <w:spacing w:line="578" w:lineRule="exact"/>
        <w:ind w:firstLine="640"/>
        <w:rPr>
          <w:rFonts w:eastAsia="仿宋_GB2312" w:cs="仿宋_GB2312"/>
          <w:kern w:val="0"/>
          <w:sz w:val="32"/>
          <w:szCs w:val="32"/>
        </w:rPr>
      </w:pPr>
      <w:r>
        <w:rPr>
          <w:rFonts w:hint="eastAsia" w:eastAsia="仿宋_GB2312" w:cs="仿宋_GB2312"/>
          <w:kern w:val="0"/>
          <w:sz w:val="32"/>
          <w:szCs w:val="32"/>
        </w:rPr>
        <w:t>制定年度目标与工作计划，采用集中式、分组式开展工作。在活动过程中，通过专属微信群进行信息共享与即时沟通，确保工作顺利进行。</w:t>
      </w:r>
    </w:p>
    <w:p w14:paraId="3D14FA7C">
      <w:pPr>
        <w:spacing w:line="578" w:lineRule="exact"/>
        <w:ind w:firstLine="640"/>
        <w:rPr>
          <w:rFonts w:eastAsia="仿宋_GB2312" w:cs="仿宋_GB2312"/>
          <w:b/>
          <w:kern w:val="0"/>
          <w:sz w:val="32"/>
          <w:szCs w:val="32"/>
        </w:rPr>
      </w:pPr>
      <w:r>
        <w:rPr>
          <w:rFonts w:hint="eastAsia" w:eastAsia="仿宋_GB2312" w:cs="仿宋_GB2312"/>
          <w:b/>
          <w:kern w:val="0"/>
          <w:sz w:val="32"/>
          <w:szCs w:val="32"/>
        </w:rPr>
        <w:t>（二）</w:t>
      </w:r>
      <w:r>
        <w:rPr>
          <w:rFonts w:eastAsia="仿宋_GB2312" w:cs="仿宋_GB2312"/>
          <w:b/>
          <w:kern w:val="0"/>
          <w:sz w:val="32"/>
          <w:szCs w:val="32"/>
        </w:rPr>
        <w:t>项目管理情况。</w:t>
      </w:r>
    </w:p>
    <w:p w14:paraId="4EAFE7B8">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承担单位选择技术骨干组成专门的项目组，项目组负责编写项目实施方案，组织项目实施，撰写总结等，项目下达单位对项目制定的实施方案进行审核，并根据项目实施方案对项目实施过程进行监督和检查；院财务室负责对项目经费开支情况进行审核；项目承担单位科技管理科对项目申报、实施等进行全程监督和管理。</w:t>
      </w:r>
    </w:p>
    <w:p w14:paraId="415DE54A">
      <w:pPr>
        <w:spacing w:line="578" w:lineRule="exact"/>
        <w:ind w:firstLine="640"/>
        <w:rPr>
          <w:rFonts w:eastAsia="仿宋_GB2312" w:cs="仿宋_GB2312"/>
          <w:b/>
          <w:kern w:val="0"/>
          <w:sz w:val="32"/>
          <w:szCs w:val="32"/>
        </w:rPr>
      </w:pPr>
      <w:r>
        <w:rPr>
          <w:rFonts w:hint="eastAsia" w:eastAsia="仿宋_GB2312" w:cs="仿宋_GB2312"/>
          <w:b/>
          <w:kern w:val="0"/>
          <w:sz w:val="32"/>
          <w:szCs w:val="32"/>
        </w:rPr>
        <w:t>（三）</w:t>
      </w:r>
      <w:r>
        <w:rPr>
          <w:rFonts w:eastAsia="仿宋_GB2312" w:cs="仿宋_GB2312"/>
          <w:b/>
          <w:kern w:val="0"/>
          <w:sz w:val="32"/>
          <w:szCs w:val="32"/>
        </w:rPr>
        <w:t>项目监管情况。</w:t>
      </w:r>
    </w:p>
    <w:p w14:paraId="6D423AC5">
      <w:pPr>
        <w:spacing w:line="578" w:lineRule="exact"/>
        <w:ind w:firstLine="640"/>
        <w:rPr>
          <w:rFonts w:eastAsia="仿宋_GB2312" w:cs="仿宋_GB2312"/>
          <w:kern w:val="0"/>
          <w:sz w:val="32"/>
          <w:szCs w:val="32"/>
        </w:rPr>
      </w:pPr>
      <w:r>
        <w:rPr>
          <w:rFonts w:hint="eastAsia" w:eastAsia="仿宋_GB2312" w:cs="仿宋_GB2312"/>
          <w:kern w:val="0"/>
          <w:sz w:val="32"/>
          <w:szCs w:val="32"/>
        </w:rPr>
        <w:t>主管部门要求团队定期提供工作推进情况，提供相关活动资料和数据。</w:t>
      </w:r>
    </w:p>
    <w:p w14:paraId="37B9388C">
      <w:pPr>
        <w:adjustRightInd w:val="0"/>
        <w:snapToGrid w:val="0"/>
        <w:spacing w:line="600" w:lineRule="exact"/>
        <w:ind w:firstLine="720"/>
        <w:rPr>
          <w:rFonts w:eastAsia="仿宋_GB2312" w:cs="仿宋_GB2312"/>
          <w:kern w:val="0"/>
          <w:sz w:val="32"/>
          <w:szCs w:val="32"/>
        </w:rPr>
      </w:pPr>
      <w:r>
        <w:rPr>
          <w:rFonts w:eastAsia="黑体"/>
          <w:sz w:val="32"/>
          <w:szCs w:val="32"/>
        </w:rPr>
        <w:t>四、项目绩效情况</w:t>
      </w:r>
    </w:p>
    <w:p w14:paraId="2E619621">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（一）项目完成情况。</w:t>
      </w:r>
    </w:p>
    <w:p w14:paraId="2D79B3C6">
      <w:pPr>
        <w:spacing w:line="578" w:lineRule="exact"/>
        <w:ind w:firstLine="640"/>
        <w:rPr>
          <w:rFonts w:eastAsia="仿宋_GB2312" w:cs="仿宋_GB2312"/>
          <w:kern w:val="0"/>
          <w:sz w:val="32"/>
          <w:szCs w:val="32"/>
        </w:rPr>
      </w:pPr>
      <w:r>
        <w:rPr>
          <w:rFonts w:hint="eastAsia" w:eastAsia="仿宋_GB2312" w:cs="仿宋_GB2312"/>
          <w:kern w:val="0"/>
          <w:sz w:val="32"/>
          <w:szCs w:val="32"/>
        </w:rPr>
        <w:t>本年度到色达县累计下乡开展调研和技术指导49天，安排1名蔬菜种植能手</w:t>
      </w:r>
      <w:r>
        <w:rPr>
          <w:rFonts w:eastAsia="仿宋_GB2312" w:cs="仿宋_GB2312"/>
          <w:kern w:val="0"/>
          <w:sz w:val="32"/>
          <w:szCs w:val="32"/>
        </w:rPr>
        <w:t>到</w:t>
      </w:r>
      <w:r>
        <w:rPr>
          <w:rFonts w:hint="eastAsia" w:eastAsia="仿宋_GB2312" w:cs="仿宋_GB2312"/>
          <w:kern w:val="0"/>
          <w:sz w:val="32"/>
          <w:szCs w:val="32"/>
        </w:rPr>
        <w:t>色达县旭日乡蔬菜基地驻点工作75天，技术服务覆盖色达县2个乡镇，主要服务指导色达县带月牧歌草业公司、四川兴茂农业有限公司等2个。指导带月牧歌生态农业有限公司在色达开展乡土野生蔬菜良种繁育整地、施肥、播种等科技服务工作，与当地企业天珍传奇公司合作，在该公司基地已成功种植2亩藁本，为下一步扩大种植面积打下基础。同时，针对为天珍传奇公司生产中出现的藁本出苗率低下问题进行研究，发现是种子成熟不足所致，也为下一步扩繁种提供依据。试种蔬菜品种9个，番茄水肥一体化种植技术1项。去年</w:t>
      </w:r>
      <w:r>
        <w:rPr>
          <w:rFonts w:eastAsia="仿宋_GB2312" w:cs="仿宋_GB2312"/>
          <w:kern w:val="0"/>
          <w:sz w:val="32"/>
          <w:szCs w:val="32"/>
        </w:rPr>
        <w:t>试种</w:t>
      </w:r>
      <w:r>
        <w:rPr>
          <w:rFonts w:hint="eastAsia" w:eastAsia="仿宋_GB2312" w:cs="仿宋_GB2312"/>
          <w:kern w:val="0"/>
          <w:sz w:val="32"/>
          <w:szCs w:val="32"/>
        </w:rPr>
        <w:t>的康养蔬菜能够</w:t>
      </w:r>
      <w:r>
        <w:rPr>
          <w:rFonts w:eastAsia="仿宋_GB2312" w:cs="仿宋_GB2312"/>
          <w:kern w:val="0"/>
          <w:sz w:val="32"/>
          <w:szCs w:val="32"/>
        </w:rPr>
        <w:t>露地</w:t>
      </w:r>
      <w:r>
        <w:rPr>
          <w:rFonts w:hint="eastAsia" w:eastAsia="仿宋_GB2312" w:cs="仿宋_GB2312"/>
          <w:kern w:val="0"/>
          <w:sz w:val="32"/>
          <w:szCs w:val="32"/>
        </w:rPr>
        <w:t>越冬的有1种。与色达县农牧农村和科技局负责人对接，到色达县旭日园区进行调研，撰写了色达县蔬菜产业发展建议1份；到天珍传奇公司花卉生产基地进行现场调研，提出设施大棚建设提出结构改善建议，得到公司肯定，节省设施大棚建设成本7-10%。另外，根据色达县明年的园区规划，联系体系岗位专家编制设施建设方案。2024年8月15日-20日，国家大宗蔬菜产业技术体系川南综合试验站、攀枝花综合试验站和花卉成都综合试验站联合组织体系机械化、土肥与栽培、病虫害防治和遗传育种等研究室的岗站专家，对国家乡村振兴重点帮扶县炉霍县、色达县的蔬菜、花卉产业开展调研和科技帮扶工作。11月25日与团长刘刚到色达县开展了现代农业示范园区规划咨询工作，并为色达县编制现代农业园区蔬菜种植方案1个。</w:t>
      </w:r>
    </w:p>
    <w:p w14:paraId="41E1EB5F">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1B66D470">
      <w:pPr>
        <w:spacing w:line="578" w:lineRule="exact"/>
        <w:ind w:firstLine="640"/>
        <w:rPr>
          <w:rFonts w:eastAsia="仿宋_GB2312" w:cs="仿宋_GB2312"/>
          <w:kern w:val="0"/>
          <w:sz w:val="32"/>
          <w:szCs w:val="32"/>
        </w:rPr>
      </w:pPr>
      <w:r>
        <w:rPr>
          <w:rFonts w:hint="eastAsia" w:eastAsia="仿宋_GB2312" w:cs="仿宋_GB2312"/>
          <w:kern w:val="0"/>
          <w:sz w:val="32"/>
          <w:szCs w:val="32"/>
        </w:rPr>
        <w:t>目前色达县蔬菜产业规模小，只有300余亩，目前主要种植白菜、土豆等喜冷蔬菜，由于交通运输问题，蔬菜种植经济效益低。通过本项目的开展，引进示范了番茄、西瓜、草莓、设施蔬菜水肥一体化等品种技术，同时解决了当地野生蔬菜的繁殖技术问题，为色达县发展文旅产业打下良好的技术基础。项目的社会经济效益良好。色达县农业主管部门和服务的企业对服务满意度高。</w:t>
      </w:r>
    </w:p>
    <w:p w14:paraId="77E45AFE">
      <w:pPr>
        <w:adjustRightInd w:val="0"/>
        <w:snapToGrid w:val="0"/>
        <w:spacing w:line="600" w:lineRule="exact"/>
        <w:ind w:firstLine="720"/>
        <w:rPr>
          <w:rFonts w:eastAsia="黑体"/>
          <w:sz w:val="32"/>
          <w:szCs w:val="32"/>
        </w:rPr>
      </w:pPr>
      <w:r>
        <w:rPr>
          <w:rFonts w:eastAsia="黑体"/>
          <w:sz w:val="32"/>
          <w:szCs w:val="32"/>
        </w:rPr>
        <w:t>五、评价结论及建议</w:t>
      </w:r>
    </w:p>
    <w:p w14:paraId="31F0727B">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5A7A1E4F">
      <w:pPr>
        <w:spacing w:line="578" w:lineRule="exact"/>
        <w:ind w:firstLine="640"/>
        <w:rPr>
          <w:rFonts w:eastAsia="仿宋_GB2312" w:cs="仿宋_GB2312"/>
          <w:kern w:val="0"/>
          <w:sz w:val="32"/>
          <w:szCs w:val="32"/>
        </w:rPr>
      </w:pPr>
      <w:r>
        <w:rPr>
          <w:rFonts w:eastAsia="仿宋_GB2312" w:cs="仿宋_GB2312"/>
          <w:kern w:val="0"/>
          <w:sz w:val="32"/>
          <w:szCs w:val="32"/>
        </w:rPr>
        <w:t>项目自评99.61分，</w:t>
      </w:r>
      <w:r>
        <w:rPr>
          <w:rFonts w:hint="eastAsia" w:eastAsia="仿宋_GB2312" w:cs="仿宋_GB2312"/>
          <w:kern w:val="0"/>
          <w:sz w:val="32"/>
          <w:szCs w:val="32"/>
        </w:rPr>
        <w:t>针对</w:t>
      </w:r>
      <w:r>
        <w:rPr>
          <w:rFonts w:eastAsia="仿宋_GB2312" w:cs="仿宋_GB2312"/>
          <w:kern w:val="0"/>
          <w:sz w:val="32"/>
          <w:szCs w:val="32"/>
        </w:rPr>
        <w:t>当地产业</w:t>
      </w:r>
      <w:r>
        <w:rPr>
          <w:rFonts w:hint="eastAsia" w:eastAsia="仿宋_GB2312" w:cs="仿宋_GB2312"/>
          <w:kern w:val="0"/>
          <w:sz w:val="32"/>
          <w:szCs w:val="32"/>
        </w:rPr>
        <w:t>需求做好服务</w:t>
      </w:r>
      <w:r>
        <w:rPr>
          <w:rFonts w:eastAsia="仿宋_GB2312" w:cs="仿宋_GB2312"/>
          <w:kern w:val="0"/>
          <w:sz w:val="32"/>
          <w:szCs w:val="32"/>
        </w:rPr>
        <w:t>，</w:t>
      </w:r>
      <w:r>
        <w:rPr>
          <w:rFonts w:hint="eastAsia" w:eastAsia="仿宋_GB2312" w:cs="仿宋_GB2312"/>
          <w:kern w:val="0"/>
          <w:sz w:val="32"/>
          <w:szCs w:val="32"/>
        </w:rPr>
        <w:t>产业科技服务方向</w:t>
      </w:r>
      <w:r>
        <w:rPr>
          <w:rFonts w:eastAsia="仿宋_GB2312" w:cs="仿宋_GB2312"/>
          <w:kern w:val="0"/>
          <w:sz w:val="32"/>
          <w:szCs w:val="32"/>
        </w:rPr>
        <w:t>明确</w:t>
      </w:r>
      <w:r>
        <w:rPr>
          <w:rFonts w:hint="eastAsia" w:eastAsia="仿宋_GB2312" w:cs="仿宋_GB2312"/>
          <w:kern w:val="0"/>
          <w:sz w:val="32"/>
          <w:szCs w:val="32"/>
        </w:rPr>
        <w:t>，全面完成产业帮扶计划任务，帮扶过程无违纪违规行为，整体绩效评价为较好</w:t>
      </w:r>
      <w:r>
        <w:rPr>
          <w:rFonts w:eastAsia="仿宋_GB2312" w:cs="仿宋_GB2312"/>
          <w:kern w:val="0"/>
          <w:sz w:val="32"/>
          <w:szCs w:val="32"/>
        </w:rPr>
        <w:t>。</w:t>
      </w:r>
    </w:p>
    <w:p w14:paraId="19C366B3">
      <w:pPr>
        <w:spacing w:line="578" w:lineRule="exact"/>
        <w:ind w:firstLine="640"/>
        <w:rPr>
          <w:rFonts w:eastAsia="仿宋_GB2312" w:cs="仿宋_GB2312"/>
          <w:b/>
          <w:kern w:val="0"/>
          <w:sz w:val="32"/>
          <w:szCs w:val="32"/>
        </w:rPr>
      </w:pPr>
      <w:r>
        <w:rPr>
          <w:rFonts w:hint="eastAsia" w:eastAsia="仿宋_GB2312" w:cs="仿宋_GB2312"/>
          <w:b/>
          <w:kern w:val="0"/>
          <w:sz w:val="32"/>
          <w:szCs w:val="32"/>
        </w:rPr>
        <w:t>（二）</w:t>
      </w:r>
      <w:r>
        <w:rPr>
          <w:rFonts w:eastAsia="仿宋_GB2312" w:cs="仿宋_GB2312"/>
          <w:b/>
          <w:kern w:val="0"/>
          <w:sz w:val="32"/>
          <w:szCs w:val="32"/>
        </w:rPr>
        <w:t>存在的问题。</w:t>
      </w:r>
    </w:p>
    <w:p w14:paraId="761CCB2F">
      <w:pPr>
        <w:spacing w:line="578" w:lineRule="exact"/>
        <w:ind w:firstLine="640"/>
        <w:rPr>
          <w:rFonts w:eastAsia="仿宋_GB2312" w:cs="仿宋_GB2312"/>
          <w:kern w:val="0"/>
          <w:sz w:val="32"/>
          <w:szCs w:val="32"/>
        </w:rPr>
      </w:pPr>
      <w:r>
        <w:rPr>
          <w:rFonts w:hint="eastAsia" w:eastAsia="仿宋_GB2312" w:cs="仿宋_GB2312"/>
          <w:kern w:val="0"/>
          <w:sz w:val="32"/>
          <w:szCs w:val="32"/>
        </w:rPr>
        <w:t>目前色达发展了较大规模的设施蔬菜基地，但设施利用时间受限，周年种植的品种结构还要进一步调整。</w:t>
      </w:r>
    </w:p>
    <w:p w14:paraId="05888C4E">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43A3B368">
      <w:pPr>
        <w:spacing w:line="578" w:lineRule="exact"/>
        <w:ind w:firstLine="640"/>
        <w:rPr>
          <w:rFonts w:eastAsia="仿宋_GB2312" w:cs="仿宋_GB2312"/>
          <w:kern w:val="0"/>
          <w:sz w:val="32"/>
          <w:szCs w:val="32"/>
        </w:rPr>
      </w:pPr>
      <w:r>
        <w:rPr>
          <w:rFonts w:hint="eastAsia" w:eastAsia="仿宋_GB2312" w:cs="仿宋_GB2312"/>
          <w:kern w:val="0"/>
          <w:sz w:val="32"/>
          <w:szCs w:val="32"/>
        </w:rPr>
        <w:t>对于色达蔬菜产业建议：一是适度规模，建议先着力打造旭日蔬菜种植基地，品种选择白菜、甘兰、菜薹，以品质打造品牌。二是产品的深加工。</w:t>
      </w:r>
    </w:p>
    <w:p w14:paraId="43418104">
      <w:pPr>
        <w:pStyle w:val="37"/>
        <w:spacing w:line="600" w:lineRule="exact"/>
        <w:rPr>
          <w:rFonts w:ascii="Times New Roman" w:hAnsi="Times New Roman" w:eastAsia="仿宋_GB2312" w:cs="仿宋_GB2312"/>
          <w:color w:val="auto"/>
          <w:sz w:val="32"/>
          <w:szCs w:val="32"/>
          <w:lang w:val="en-US"/>
        </w:rPr>
      </w:pPr>
      <w:r>
        <w:rPr>
          <w:rFonts w:ascii="Times New Roman" w:hAnsi="Times New Roman" w:eastAsia="仿宋_GB2312" w:cs="仿宋_GB2312"/>
          <w:color w:val="auto"/>
          <w:sz w:val="32"/>
          <w:szCs w:val="32"/>
          <w:lang w:val="en-US"/>
        </w:rPr>
        <w:br w:type="page"/>
      </w:r>
    </w:p>
    <w:p w14:paraId="3545950D">
      <w:pPr>
        <w:pStyle w:val="37"/>
        <w:spacing w:line="600" w:lineRule="exact"/>
        <w:ind w:left="420"/>
        <w:jc w:val="center"/>
        <w:rPr>
          <w:rFonts w:hint="eastAsia" w:ascii="方正小标宋简体" w:eastAsia="方正小标宋简体"/>
          <w:sz w:val="40"/>
          <w:szCs w:val="40"/>
        </w:rPr>
      </w:pPr>
      <w:r>
        <w:rPr>
          <w:rFonts w:hint="eastAsia" w:ascii="方正小标宋简体" w:eastAsia="方正小标宋简体"/>
          <w:sz w:val="40"/>
          <w:szCs w:val="40"/>
        </w:rPr>
        <w:t>专项预算项目支出绩效自评报告</w:t>
      </w:r>
    </w:p>
    <w:p w14:paraId="410709C5">
      <w:pPr>
        <w:pStyle w:val="37"/>
        <w:spacing w:line="600" w:lineRule="exact"/>
        <w:ind w:left="420"/>
        <w:jc w:val="center"/>
        <w:rPr>
          <w:rFonts w:hint="eastAsia" w:ascii="方正小标宋简体" w:eastAsia="方正小标宋简体"/>
          <w:sz w:val="40"/>
          <w:szCs w:val="40"/>
        </w:rPr>
      </w:pPr>
      <w:r>
        <w:rPr>
          <w:rFonts w:hint="eastAsia" w:ascii="方正小标宋简体" w:eastAsia="方正小标宋简体"/>
          <w:sz w:val="40"/>
          <w:szCs w:val="40"/>
        </w:rPr>
        <w:t>2024年中央财政林业草原专项资金</w:t>
      </w:r>
    </w:p>
    <w:p w14:paraId="1BF9B273">
      <w:pPr>
        <w:pStyle w:val="37"/>
        <w:spacing w:line="600" w:lineRule="exact"/>
        <w:ind w:left="420"/>
        <w:jc w:val="center"/>
        <w:rPr>
          <w:rFonts w:hint="eastAsia" w:ascii="方正小标宋简体" w:eastAsia="方正小标宋简体"/>
          <w:sz w:val="40"/>
          <w:szCs w:val="40"/>
        </w:rPr>
      </w:pPr>
      <w:r>
        <w:rPr>
          <w:rFonts w:hint="eastAsia" w:ascii="方正小标宋简体" w:eastAsia="方正小标宋简体"/>
          <w:sz w:val="40"/>
          <w:szCs w:val="40"/>
        </w:rPr>
        <w:t>（攀西林粮高效复合模式推广示范项目）</w:t>
      </w:r>
    </w:p>
    <w:p w14:paraId="5DDF98E5">
      <w:pPr>
        <w:adjustRightInd w:val="0"/>
        <w:snapToGrid w:val="0"/>
        <w:spacing w:line="600" w:lineRule="exact"/>
        <w:ind w:firstLine="720"/>
        <w:rPr>
          <w:rFonts w:eastAsia="黑体"/>
          <w:sz w:val="32"/>
          <w:szCs w:val="32"/>
        </w:rPr>
      </w:pPr>
      <w:r>
        <w:rPr>
          <w:rFonts w:hint="eastAsia" w:eastAsia="黑体"/>
          <w:sz w:val="32"/>
          <w:szCs w:val="32"/>
        </w:rPr>
        <w:t>一、项目概况</w:t>
      </w:r>
    </w:p>
    <w:p w14:paraId="7FE0F4A6">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（一）项目基本情况。</w:t>
      </w:r>
    </w:p>
    <w:p w14:paraId="11049E99">
      <w:pPr>
        <w:pStyle w:val="39"/>
        <w:spacing w:before="0" w:beforeAutospacing="0" w:after="0" w:afterAutospacing="0" w:line="600" w:lineRule="exact"/>
        <w:ind w:firstLine="482" w:firstLineChars="150"/>
        <w:jc w:val="both"/>
        <w:rPr>
          <w:rFonts w:ascii="仿宋_GB2312" w:eastAsia="仿宋_GB2312"/>
          <w:b/>
          <w:color w:val="000000"/>
          <w:sz w:val="32"/>
          <w:szCs w:val="32"/>
        </w:rPr>
      </w:pPr>
      <w:r>
        <w:rPr>
          <w:rFonts w:hint="eastAsia" w:ascii="仿宋_GB2312" w:eastAsia="仿宋_GB2312"/>
          <w:b/>
          <w:color w:val="000000"/>
          <w:sz w:val="32"/>
          <w:szCs w:val="32"/>
        </w:rPr>
        <w:t>1．说明项目主管部门（单位）在该项目管理中的职能。</w:t>
      </w:r>
      <w:r>
        <w:rPr>
          <w:rFonts w:hint="eastAsia" w:ascii="仿宋_GB2312" w:hAnsi="宋体" w:eastAsia="仿宋_GB2312"/>
          <w:color w:val="000000"/>
          <w:sz w:val="32"/>
          <w:szCs w:val="32"/>
        </w:rPr>
        <w:t>“攀西林粮高效复合模式推广示范项目”于2024年由四川省林业草原局下达，项目编号为[2024]5号，攀枝花市林业局为保证单位，攀枝花市农林科学研究院为项目实施单位，主要负责项目的全面实施，保障项目的顺利实施和资金的合理使用，实施年限为2024年1月-2025年12月，项目资金为：58.37万元。</w:t>
      </w:r>
    </w:p>
    <w:p w14:paraId="52503B52">
      <w:pPr>
        <w:pStyle w:val="39"/>
        <w:spacing w:before="0" w:beforeAutospacing="0" w:after="0" w:afterAutospacing="0" w:line="600" w:lineRule="exact"/>
        <w:ind w:firstLine="720"/>
        <w:jc w:val="both"/>
        <w:rPr>
          <w:rFonts w:ascii="仿宋_GB2312" w:eastAsia="仿宋_GB2312"/>
          <w:b/>
          <w:color w:val="000000"/>
          <w:sz w:val="32"/>
          <w:szCs w:val="32"/>
        </w:rPr>
      </w:pPr>
      <w:r>
        <w:rPr>
          <w:rFonts w:hint="eastAsia" w:ascii="仿宋_GB2312" w:eastAsia="仿宋_GB2312"/>
          <w:b/>
          <w:color w:val="000000"/>
          <w:sz w:val="32"/>
          <w:szCs w:val="32"/>
        </w:rPr>
        <w:t>2. 项目立项、资金申报的依据。</w:t>
      </w:r>
      <w:r>
        <w:rPr>
          <w:rFonts w:hint="eastAsia" w:ascii="仿宋_GB2312" w:hAnsi="宋体" w:eastAsia="仿宋_GB2312"/>
          <w:color w:val="000000"/>
          <w:sz w:val="32"/>
          <w:szCs w:val="32"/>
        </w:rPr>
        <w:t>为全面贯彻中央农村工作会议提出“树立大食物观，全方位、多途径开发食物资源，满足日益多元化的食物消费需求”的精神，落实国家林业和草原局林下经济发展指南提出“有序扩大林下经济产业发展规模，持续优化林下经济产业布局，不断增加林下产品有效供给，提高市场认可度；积极推广林下中药材产业、大力发展林下食用菌产业”和四川省“天府森林粮库”六大重点工程中林菌双增工程、林药提升工程的决策部署，项目承担单位根据攀西产业现状，开展林粮高效复合技术推广示范，进一步加快科技成果的转化力度，为农民持续增收、乡村振兴及攀枝花共同富裕试验区建设提供林粮发展新模式、新思路和新技术。</w:t>
      </w:r>
    </w:p>
    <w:p w14:paraId="3056D925">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块菌Tuber，商品名松露，是世界上公认的顶级食材，具有奇特的香味，享有“厨房钻石”的美誉。攀西地区是块菌重要产区，占全国总产量的60%，价格高昂，成熟印度块菌市场售价600-1000元/kg，攀枝花白块菌市场售价3000-7000元/kg，是攀西地区农民增收致富的重要经济来源。2008年被授予“中国块菌之乡”的荣誉称号，2013年获“攀枝花块菌”地理标志产品。近年来人为灭绝式的采集导致块菌的产量和质量急剧下降，严重影响块菌产业可持续发展。</w:t>
      </w:r>
    </w:p>
    <w:p w14:paraId="4926E5E9">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块菌是与宿主植物共生的一种珍稀的菌根食用真菌，尤其是与林粮作物一起形成共生关系，实现林上林下双效益。针对块菌种植周期长，前期种植没有收益的短板，本项目着力于在块菌栽培未产出的前2-3年，充分利用幼林行间种植粮食作物和中草药，既可以弥补块菌种植前期没有收益的短板，又可以减少块菌苗种植的管理成本，促进块菌苗的生长发育，“以短养长，长短结合”模式发展林下粮食和中草药，提高林间土地综合利用效益。</w:t>
      </w:r>
    </w:p>
    <w:p w14:paraId="31053728">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利用废弃果树枝和农作物的下脚料块菌幼林套种食用菌，不仅提高了林地综合利用率和产值，而且还实现废弃资源的循环利用，降低焚烧果枝带来的环境污染，走“果-菇-肥-果”的农业废弃物循环利用道路。</w:t>
      </w:r>
    </w:p>
    <w:p w14:paraId="76B49C2A">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本项目的实施对调整农村产业结构、充分利用农村闲置劳动力，引导农民科学合理利用废弃果枝资源，促进农民增收致富，实现小蘑菇大产业，实现经济效益、生态效益和社会效益的有机结合具有重要的现实意义。符合国家乡村振兴战略，具有较大的推广前景。</w:t>
      </w:r>
    </w:p>
    <w:p w14:paraId="35C37D97">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本项目符合林草推广项目的相关要求，与国家和林粮发展指南相贴切，转化成果为项目组团队研究，项目组成员拥有推广类项目实施的经验，团队成员构成合理，覆盖项目实施的所有科目，项目的实施能合理利用林下空地，提高土地利用率，增加林地附加值，真正实现绿水青山就是金山银山，助力乡村振兴战略，具有较好的经济、社会和生态效益。</w:t>
      </w:r>
    </w:p>
    <w:p w14:paraId="427CCDC0">
      <w:pPr>
        <w:pStyle w:val="39"/>
        <w:spacing w:before="0" w:beforeAutospacing="0" w:after="0" w:afterAutospacing="0" w:line="600" w:lineRule="exact"/>
        <w:ind w:firstLine="720"/>
        <w:jc w:val="both"/>
        <w:rPr>
          <w:rFonts w:ascii="仿宋_GB2312" w:eastAsia="仿宋_GB2312"/>
          <w:b/>
          <w:color w:val="000000"/>
          <w:sz w:val="32"/>
          <w:szCs w:val="32"/>
        </w:rPr>
      </w:pPr>
      <w:r>
        <w:rPr>
          <w:rFonts w:hint="eastAsia" w:ascii="仿宋_GB2312" w:eastAsia="仿宋_GB2312"/>
          <w:b/>
          <w:color w:val="000000"/>
          <w:sz w:val="32"/>
          <w:szCs w:val="32"/>
        </w:rPr>
        <w:t>3．资金管理办法制定情况，资金支持具体项目的条件、范围与支持方式概况。</w:t>
      </w:r>
      <w:r>
        <w:rPr>
          <w:rFonts w:hint="eastAsia" w:ascii="仿宋_GB2312" w:hAnsi="宋体" w:eastAsia="仿宋_GB2312"/>
          <w:color w:val="000000"/>
          <w:sz w:val="32"/>
          <w:szCs w:val="32"/>
        </w:rPr>
        <w:t>项目承担单位根据《中华人民共和国会计法》、《中华人民共和国预算法》、《中华人民共和国政府采购法》、财政部《事业单位财务规则》、财政部国家林草局关于修订《林业草原改革发展资金管理办法》财资环〔2024〕158号等，结合单位实际，制定了《攀枝花市农林科学研究院财务管理办法》（攀农林〔2019〕56号）和《攀枝花市农林科学研究院非政府采购类项目的采购管理办法》（攀农林〔2021〕26号）。项目经费实施专款专用，严格按照规定实行逐级审核的报账制度。资金支持具体项目的条件符合川财资环〔2024〕16号文件，本项目支持方向为农业科技技术示范推广。</w:t>
      </w:r>
    </w:p>
    <w:p w14:paraId="4B0A8D60">
      <w:pPr>
        <w:pStyle w:val="39"/>
        <w:spacing w:before="0" w:beforeAutospacing="0" w:after="0" w:afterAutospacing="0" w:line="600" w:lineRule="exact"/>
        <w:ind w:firstLine="720"/>
        <w:jc w:val="both"/>
        <w:rPr>
          <w:rFonts w:ascii="仿宋_GB2312" w:eastAsia="仿宋_GB2312"/>
          <w:b/>
          <w:color w:val="000000"/>
          <w:sz w:val="32"/>
          <w:szCs w:val="32"/>
        </w:rPr>
      </w:pPr>
      <w:r>
        <w:rPr>
          <w:rFonts w:hint="eastAsia" w:ascii="仿宋_GB2312" w:eastAsia="仿宋_GB2312"/>
          <w:b/>
          <w:color w:val="000000"/>
          <w:sz w:val="32"/>
          <w:szCs w:val="32"/>
        </w:rPr>
        <w:t>4. 资金分配的原则及考虑因素。</w:t>
      </w:r>
      <w:r>
        <w:rPr>
          <w:rFonts w:hint="eastAsia" w:ascii="仿宋_GB2312" w:hAnsi="宋体" w:eastAsia="仿宋_GB2312"/>
          <w:color w:val="000000"/>
          <w:sz w:val="32"/>
          <w:szCs w:val="32"/>
        </w:rPr>
        <w:t>项目组按照项目实施计划要求和相关资金使用管理办法和政策为原则对项目资金进行分配。项目总经费为58.37万，其中示范基地建设费50.87万元，主要用于基地建设的材料费、劳务费和运输费等；简易基础设施费1.5万元主要是基地展示牌制作；小型设备购置3万元主要用于种植萌发培养箱的购买以及块菌园管理中小型农具的购买；技术培训费1万元主要用于培训中资料的印刷等费用；技术咨询费2万元主要用于项目实施过程中遇到新的技术问题支付专家的差旅和咨询技术服务费用等。</w:t>
      </w:r>
    </w:p>
    <w:p w14:paraId="7AE2BFB6">
      <w:pPr>
        <w:spacing w:line="578" w:lineRule="exact"/>
        <w:ind w:firstLine="640"/>
        <w:rPr>
          <w:rFonts w:eastAsia="仿宋_GB2312" w:cs="仿宋_GB2312"/>
          <w:b/>
          <w:kern w:val="0"/>
          <w:sz w:val="32"/>
          <w:szCs w:val="32"/>
        </w:rPr>
      </w:pPr>
      <w:r>
        <w:rPr>
          <w:rFonts w:hint="eastAsia" w:eastAsia="仿宋_GB2312" w:cs="仿宋_GB2312"/>
          <w:b/>
          <w:kern w:val="0"/>
          <w:sz w:val="32"/>
          <w:szCs w:val="32"/>
        </w:rPr>
        <w:t>（二）项目绩效目标。</w:t>
      </w:r>
    </w:p>
    <w:p w14:paraId="1251D306">
      <w:pPr>
        <w:pStyle w:val="39"/>
        <w:spacing w:before="0" w:beforeAutospacing="0" w:after="0" w:afterAutospacing="0" w:line="360" w:lineRule="auto"/>
        <w:ind w:firstLine="643" w:firstLineChars="200"/>
        <w:rPr>
          <w:rFonts w:ascii="仿宋_GB2312" w:hAnsi="宋体" w:eastAsia="仿宋_GB2312"/>
          <w:b/>
          <w:color w:val="000000"/>
          <w:sz w:val="32"/>
          <w:szCs w:val="32"/>
        </w:rPr>
      </w:pPr>
      <w:r>
        <w:rPr>
          <w:rFonts w:hint="eastAsia" w:ascii="仿宋_GB2312" w:hAnsi="宋体" w:eastAsia="仿宋_GB2312"/>
          <w:b/>
          <w:color w:val="000000"/>
          <w:sz w:val="32"/>
          <w:szCs w:val="32"/>
        </w:rPr>
        <w:t>1. 项目主要内容。</w:t>
      </w:r>
      <w:r>
        <w:rPr>
          <w:rFonts w:hint="eastAsia" w:ascii="仿宋_GB2312" w:hAnsi="宋体" w:eastAsia="仿宋_GB2312"/>
          <w:color w:val="000000"/>
          <w:sz w:val="32"/>
          <w:szCs w:val="32"/>
        </w:rPr>
        <w:t>推广示范60亩，其中营建块菌栽培示范48亩，套种食用菌示范5亩，套种中草药示范5亩，套种粮食示范2亩。其中：培育板栗、榛子、美国山核桃和甜茶块菌菌根苗6000株，营建块菌栽培示范48亩；块菌幼林期行间高效复合套种食用菌示范5亩，中草药示范5亩，套种粮食示范2亩。建示范基地2个，示范点2个；培养技术骨干5名和科技示范户5户；培训林农300人次，发放培训资料1000份。</w:t>
      </w:r>
    </w:p>
    <w:p w14:paraId="703893F9">
      <w:pPr>
        <w:pStyle w:val="39"/>
        <w:spacing w:before="0" w:beforeAutospacing="0" w:after="0" w:afterAutospacing="0" w:line="600" w:lineRule="exact"/>
        <w:ind w:firstLine="720"/>
        <w:jc w:val="both"/>
        <w:rPr>
          <w:b/>
        </w:rPr>
      </w:pPr>
      <w:r>
        <w:rPr>
          <w:rFonts w:hint="eastAsia" w:ascii="仿宋_GB2312" w:eastAsia="仿宋_GB2312"/>
          <w:b/>
          <w:color w:val="000000"/>
          <w:sz w:val="32"/>
          <w:szCs w:val="32"/>
        </w:rPr>
        <w:t>2. 项目应实现的具体绩效目标，包括目标的量化、细化情况以及项目实施进度计划等。</w:t>
      </w:r>
      <w:r>
        <w:rPr>
          <w:rFonts w:hint="eastAsia" w:ascii="仿宋_GB2312" w:hAnsi="宋体" w:eastAsia="仿宋_GB2312"/>
          <w:color w:val="000000"/>
          <w:sz w:val="32"/>
          <w:szCs w:val="32"/>
        </w:rPr>
        <w:t>通过项目实施应：培育板栗、榛子、美国山核桃和甜茶块菌菌根苗6000株，菌根感染率大于75%；新建块菌栽培示范48亩，栽培成活率大于95%；利用废弃果枝块菌幼林套种食用菌5亩，平均产值1万元/亩以上；块菌幼林行间套种中药材5亩、粮食作物2亩，平均产值3000元/亩以上；.培训3期，培训林农300人次，编印块菌栽培管理技术资料1套，发放培训资料1000份，技能提升90%以上；新建示范基地2个，示范点2个；培养技术骨干5名和科技示范户5户。</w:t>
      </w:r>
    </w:p>
    <w:p w14:paraId="77A0C2F5">
      <w:pPr>
        <w:pStyle w:val="39"/>
        <w:spacing w:before="0" w:beforeAutospacing="0" w:after="0" w:afterAutospacing="0"/>
        <w:ind w:firstLine="480"/>
        <w:jc w:val="center"/>
      </w:pPr>
      <w:r>
        <w:rPr>
          <w:rFonts w:hint="eastAsia" w:ascii="宋体" w:hAnsi="宋体" w:eastAsia="宋体"/>
          <w:color w:val="333333"/>
        </w:rPr>
        <w:t>表1 项目实施进度计划</w:t>
      </w:r>
    </w:p>
    <w:tbl>
      <w:tblPr>
        <w:tblStyle w:val="18"/>
        <w:tblW w:w="8055" w:type="dxa"/>
        <w:tblInd w:w="-20" w:type="dxa"/>
        <w:tblLayout w:type="fixed"/>
        <w:tblCellMar>
          <w:top w:w="15" w:type="dxa"/>
          <w:left w:w="15" w:type="dxa"/>
          <w:bottom w:w="15" w:type="dxa"/>
          <w:right w:w="15" w:type="dxa"/>
        </w:tblCellMar>
      </w:tblPr>
      <w:tblGrid>
        <w:gridCol w:w="3219"/>
        <w:gridCol w:w="4836"/>
      </w:tblGrid>
      <w:tr w14:paraId="41A01113">
        <w:tblPrEx>
          <w:tblCellMar>
            <w:top w:w="15" w:type="dxa"/>
            <w:left w:w="15" w:type="dxa"/>
            <w:bottom w:w="15" w:type="dxa"/>
            <w:right w:w="15" w:type="dxa"/>
          </w:tblCellMar>
        </w:tblPrEx>
        <w:trPr>
          <w:trHeight w:val="403"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BFF980C">
            <w:pPr>
              <w:pStyle w:val="39"/>
              <w:spacing w:before="0" w:beforeAutospacing="0" w:after="0" w:afterAutospacing="0"/>
              <w:ind w:firstLine="480"/>
              <w:jc w:val="center"/>
            </w:pPr>
            <w:r>
              <w:rPr>
                <w:rFonts w:hint="eastAsia" w:ascii="宋体" w:hAnsi="宋体" w:eastAsia="宋体"/>
                <w:color w:val="333333"/>
                <w:sz w:val="21"/>
                <w:szCs w:val="21"/>
              </w:rPr>
              <w:t>时间进度</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361D6A">
            <w:pPr>
              <w:pStyle w:val="39"/>
              <w:spacing w:before="0" w:beforeAutospacing="0" w:after="0" w:afterAutospacing="0"/>
              <w:ind w:firstLine="480"/>
              <w:jc w:val="center"/>
            </w:pPr>
            <w:r>
              <w:rPr>
                <w:rFonts w:hint="eastAsia" w:ascii="宋体" w:hAnsi="宋体" w:eastAsia="宋体"/>
                <w:color w:val="333333"/>
                <w:sz w:val="21"/>
                <w:szCs w:val="21"/>
              </w:rPr>
              <w:t>计划实施内容</w:t>
            </w:r>
          </w:p>
        </w:tc>
      </w:tr>
      <w:tr w14:paraId="3BE8F5DF">
        <w:tblPrEx>
          <w:tblCellMar>
            <w:top w:w="15" w:type="dxa"/>
            <w:left w:w="15" w:type="dxa"/>
            <w:bottom w:w="15" w:type="dxa"/>
            <w:right w:w="15" w:type="dxa"/>
          </w:tblCellMar>
        </w:tblPrEx>
        <w:trPr>
          <w:trHeight w:val="403"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727A48">
            <w:pPr>
              <w:pStyle w:val="39"/>
              <w:spacing w:before="0" w:beforeAutospacing="0" w:after="0" w:afterAutospacing="0"/>
              <w:jc w:val="center"/>
            </w:pPr>
            <w:r>
              <w:rPr>
                <w:rFonts w:hint="eastAsia" w:ascii="宋体" w:hAnsi="宋体" w:eastAsia="宋体"/>
                <w:color w:val="333333"/>
                <w:sz w:val="21"/>
                <w:szCs w:val="21"/>
              </w:rPr>
              <w:t>2024年1月-2月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1766578">
            <w:pPr>
              <w:pStyle w:val="39"/>
              <w:spacing w:before="0" w:beforeAutospacing="0" w:after="0" w:afterAutospacing="0"/>
              <w:jc w:val="center"/>
            </w:pPr>
            <w:r>
              <w:rPr>
                <w:rFonts w:hint="eastAsia" w:ascii="宋体" w:hAnsi="宋体" w:eastAsia="宋体"/>
                <w:color w:val="333333"/>
                <w:sz w:val="21"/>
                <w:szCs w:val="21"/>
              </w:rPr>
              <w:t>项目前期筹备工作</w:t>
            </w:r>
          </w:p>
        </w:tc>
      </w:tr>
      <w:tr w14:paraId="353E9ABF">
        <w:tblPrEx>
          <w:tblCellMar>
            <w:top w:w="15" w:type="dxa"/>
            <w:left w:w="15" w:type="dxa"/>
            <w:bottom w:w="15" w:type="dxa"/>
            <w:right w:w="15" w:type="dxa"/>
          </w:tblCellMar>
        </w:tblPrEx>
        <w:trPr>
          <w:trHeight w:val="1241"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D6383F">
            <w:pPr>
              <w:pStyle w:val="39"/>
              <w:spacing w:before="0" w:beforeAutospacing="0" w:after="0" w:afterAutospacing="0"/>
              <w:jc w:val="center"/>
            </w:pPr>
            <w:r>
              <w:rPr>
                <w:rFonts w:hint="eastAsia" w:ascii="宋体" w:hAnsi="宋体" w:eastAsia="宋体"/>
                <w:color w:val="333333"/>
                <w:sz w:val="21"/>
                <w:szCs w:val="21"/>
              </w:rPr>
              <w:t>2024年3月-5月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F10E4C">
            <w:pPr>
              <w:pStyle w:val="39"/>
              <w:spacing w:before="0" w:beforeAutospacing="0" w:after="0" w:afterAutospacing="0"/>
              <w:jc w:val="center"/>
            </w:pPr>
            <w:r>
              <w:rPr>
                <w:rFonts w:hint="eastAsia" w:ascii="宋体" w:hAnsi="宋体" w:eastAsia="宋体"/>
                <w:color w:val="333333"/>
                <w:sz w:val="21"/>
                <w:szCs w:val="21"/>
              </w:rPr>
              <w:t>完成各类合同签订，详细实施方案制定。土地落实，材料准备，块菌苗培育，块菌种植和套种基地整地，安装喷灌设施。</w:t>
            </w:r>
          </w:p>
        </w:tc>
      </w:tr>
      <w:tr w14:paraId="623565E6">
        <w:tblPrEx>
          <w:tblCellMar>
            <w:top w:w="15" w:type="dxa"/>
            <w:left w:w="15" w:type="dxa"/>
            <w:bottom w:w="15" w:type="dxa"/>
            <w:right w:w="15" w:type="dxa"/>
          </w:tblCellMar>
        </w:tblPrEx>
        <w:trPr>
          <w:trHeight w:val="620"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4BBD31">
            <w:pPr>
              <w:pStyle w:val="39"/>
              <w:spacing w:before="0" w:beforeAutospacing="0" w:after="0" w:afterAutospacing="0"/>
              <w:jc w:val="center"/>
            </w:pPr>
            <w:r>
              <w:rPr>
                <w:rFonts w:hint="eastAsia" w:ascii="宋体" w:hAnsi="宋体" w:eastAsia="宋体"/>
                <w:color w:val="333333"/>
                <w:sz w:val="21"/>
                <w:szCs w:val="21"/>
              </w:rPr>
              <w:t>2024年6月-8月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A924C75">
            <w:pPr>
              <w:pStyle w:val="39"/>
              <w:spacing w:before="0" w:beforeAutospacing="0" w:after="0" w:afterAutospacing="0"/>
              <w:jc w:val="center"/>
            </w:pPr>
            <w:r>
              <w:rPr>
                <w:rFonts w:hint="eastAsia" w:ascii="宋体" w:hAnsi="宋体" w:eastAsia="宋体"/>
                <w:color w:val="333333"/>
                <w:sz w:val="21"/>
                <w:szCs w:val="21"/>
              </w:rPr>
              <w:t>块菌幼林套种粮食作物和中草药，块菌苗栽培。</w:t>
            </w:r>
          </w:p>
        </w:tc>
      </w:tr>
      <w:tr w14:paraId="39578BFF">
        <w:tblPrEx>
          <w:tblCellMar>
            <w:top w:w="15" w:type="dxa"/>
            <w:left w:w="15" w:type="dxa"/>
            <w:bottom w:w="15" w:type="dxa"/>
            <w:right w:w="15" w:type="dxa"/>
          </w:tblCellMar>
        </w:tblPrEx>
        <w:trPr>
          <w:trHeight w:val="620"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8A655B">
            <w:pPr>
              <w:pStyle w:val="39"/>
              <w:spacing w:before="0" w:beforeAutospacing="0" w:after="0" w:afterAutospacing="0"/>
              <w:jc w:val="center"/>
            </w:pPr>
            <w:r>
              <w:rPr>
                <w:rFonts w:hint="eastAsia" w:ascii="宋体" w:hAnsi="宋体" w:eastAsia="宋体"/>
                <w:color w:val="333333"/>
                <w:sz w:val="21"/>
                <w:szCs w:val="21"/>
              </w:rPr>
              <w:t>2024年9月-10月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555BA61">
            <w:pPr>
              <w:pStyle w:val="39"/>
              <w:spacing w:before="0" w:beforeAutospacing="0" w:after="0" w:afterAutospacing="0"/>
              <w:jc w:val="center"/>
            </w:pPr>
            <w:r>
              <w:rPr>
                <w:rFonts w:hint="eastAsia" w:ascii="宋体" w:hAnsi="宋体" w:eastAsia="宋体"/>
                <w:color w:val="333333"/>
                <w:sz w:val="21"/>
                <w:szCs w:val="21"/>
              </w:rPr>
              <w:t>利用废弃果枝块菌幼林林下栽培食用菌。</w:t>
            </w:r>
          </w:p>
        </w:tc>
      </w:tr>
      <w:tr w14:paraId="38F1CDB5">
        <w:tblPrEx>
          <w:tblCellMar>
            <w:top w:w="15" w:type="dxa"/>
            <w:left w:w="15" w:type="dxa"/>
            <w:bottom w:w="15" w:type="dxa"/>
            <w:right w:w="15" w:type="dxa"/>
          </w:tblCellMar>
        </w:tblPrEx>
        <w:trPr>
          <w:trHeight w:val="620"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1DD7687">
            <w:pPr>
              <w:pStyle w:val="39"/>
              <w:spacing w:before="0" w:beforeAutospacing="0" w:after="0" w:afterAutospacing="0"/>
              <w:jc w:val="center"/>
            </w:pPr>
            <w:r>
              <w:rPr>
                <w:rFonts w:hint="eastAsia" w:ascii="宋体" w:hAnsi="宋体" w:eastAsia="宋体"/>
                <w:color w:val="333333"/>
                <w:sz w:val="21"/>
                <w:szCs w:val="21"/>
              </w:rPr>
              <w:t>2024年11月-12月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C2D4D08">
            <w:pPr>
              <w:pStyle w:val="39"/>
              <w:spacing w:before="0" w:beforeAutospacing="0" w:after="0" w:afterAutospacing="0"/>
              <w:jc w:val="center"/>
            </w:pPr>
            <w:r>
              <w:rPr>
                <w:rFonts w:hint="eastAsia" w:ascii="宋体" w:hAnsi="宋体" w:eastAsia="宋体"/>
                <w:color w:val="333333"/>
                <w:sz w:val="21"/>
                <w:szCs w:val="21"/>
              </w:rPr>
              <w:t>食用菌种植管护、中草材种植管护、套种粮食作物采收测产。</w:t>
            </w:r>
          </w:p>
        </w:tc>
      </w:tr>
      <w:tr w14:paraId="51613B28">
        <w:tblPrEx>
          <w:tblCellMar>
            <w:top w:w="15" w:type="dxa"/>
            <w:left w:w="15" w:type="dxa"/>
            <w:bottom w:w="15" w:type="dxa"/>
            <w:right w:w="15" w:type="dxa"/>
          </w:tblCellMar>
        </w:tblPrEx>
        <w:trPr>
          <w:trHeight w:val="403"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3D4993">
            <w:pPr>
              <w:pStyle w:val="39"/>
              <w:spacing w:before="0" w:beforeAutospacing="0" w:after="0" w:afterAutospacing="0"/>
              <w:jc w:val="center"/>
            </w:pPr>
            <w:r>
              <w:rPr>
                <w:rFonts w:hint="eastAsia" w:ascii="宋体" w:hAnsi="宋体" w:eastAsia="宋体"/>
                <w:color w:val="333333"/>
                <w:sz w:val="21"/>
                <w:szCs w:val="21"/>
              </w:rPr>
              <w:t>2025年1月-2月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D86A005">
            <w:pPr>
              <w:pStyle w:val="39"/>
              <w:spacing w:before="0" w:beforeAutospacing="0" w:after="0" w:afterAutospacing="0"/>
              <w:jc w:val="center"/>
            </w:pPr>
            <w:r>
              <w:rPr>
                <w:rFonts w:hint="eastAsia" w:ascii="宋体" w:hAnsi="宋体" w:eastAsia="宋体"/>
                <w:color w:val="333333"/>
                <w:sz w:val="21"/>
                <w:szCs w:val="21"/>
              </w:rPr>
              <w:t>食用菌的采收测产</w:t>
            </w:r>
          </w:p>
        </w:tc>
      </w:tr>
      <w:tr w14:paraId="7AE38C23">
        <w:tblPrEx>
          <w:tblCellMar>
            <w:top w:w="15" w:type="dxa"/>
            <w:left w:w="15" w:type="dxa"/>
            <w:bottom w:w="15" w:type="dxa"/>
            <w:right w:w="15" w:type="dxa"/>
          </w:tblCellMar>
        </w:tblPrEx>
        <w:trPr>
          <w:trHeight w:val="403"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6C1849">
            <w:pPr>
              <w:pStyle w:val="39"/>
              <w:spacing w:before="0" w:beforeAutospacing="0" w:after="0" w:afterAutospacing="0"/>
              <w:jc w:val="center"/>
            </w:pPr>
            <w:r>
              <w:rPr>
                <w:rFonts w:hint="eastAsia" w:ascii="宋体" w:hAnsi="宋体" w:eastAsia="宋体"/>
                <w:color w:val="333333"/>
                <w:sz w:val="21"/>
                <w:szCs w:val="21"/>
              </w:rPr>
              <w:t>2025年3月-5月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6F6D6A8">
            <w:pPr>
              <w:pStyle w:val="39"/>
              <w:spacing w:before="0" w:beforeAutospacing="0" w:after="0" w:afterAutospacing="0"/>
              <w:jc w:val="center"/>
            </w:pPr>
            <w:r>
              <w:rPr>
                <w:rFonts w:hint="eastAsia" w:ascii="宋体" w:hAnsi="宋体" w:eastAsia="宋体"/>
                <w:color w:val="333333"/>
                <w:sz w:val="21"/>
                <w:szCs w:val="21"/>
              </w:rPr>
              <w:t>块菌栽培苗补植管护和中药材管护</w:t>
            </w:r>
          </w:p>
        </w:tc>
      </w:tr>
      <w:tr w14:paraId="00D2E001">
        <w:tblPrEx>
          <w:tblCellMar>
            <w:top w:w="15" w:type="dxa"/>
            <w:left w:w="15" w:type="dxa"/>
            <w:bottom w:w="15" w:type="dxa"/>
            <w:right w:w="15" w:type="dxa"/>
          </w:tblCellMar>
        </w:tblPrEx>
        <w:trPr>
          <w:trHeight w:val="620"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6D58341">
            <w:pPr>
              <w:pStyle w:val="39"/>
              <w:spacing w:before="0" w:beforeAutospacing="0" w:after="0" w:afterAutospacing="0"/>
              <w:jc w:val="center"/>
            </w:pPr>
            <w:r>
              <w:rPr>
                <w:rFonts w:hint="eastAsia" w:ascii="宋体" w:hAnsi="宋体" w:eastAsia="宋体"/>
                <w:color w:val="333333"/>
                <w:sz w:val="21"/>
                <w:szCs w:val="21"/>
              </w:rPr>
              <w:t>2025年6月-9月</w:t>
            </w:r>
          </w:p>
          <w:p w14:paraId="58DCD1AB">
            <w:pPr>
              <w:pStyle w:val="39"/>
              <w:spacing w:before="0" w:beforeAutospacing="0" w:after="0" w:afterAutospacing="0"/>
              <w:ind w:firstLine="480"/>
              <w:jc w:val="center"/>
            </w:pPr>
            <w:r>
              <w:rPr>
                <w:rFonts w:hint="eastAsia" w:ascii="宋体" w:hAnsi="宋体" w:eastAsia="宋体"/>
                <w:color w:val="333333"/>
                <w:sz w:val="21"/>
                <w:szCs w:val="21"/>
              </w:rPr>
              <w:t> </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42667A9">
            <w:pPr>
              <w:pStyle w:val="39"/>
              <w:spacing w:before="0" w:beforeAutospacing="0" w:after="0" w:afterAutospacing="0"/>
              <w:jc w:val="center"/>
            </w:pPr>
            <w:r>
              <w:rPr>
                <w:rFonts w:hint="eastAsia" w:ascii="宋体" w:hAnsi="宋体" w:eastAsia="宋体"/>
                <w:color w:val="333333"/>
                <w:sz w:val="21"/>
                <w:szCs w:val="21"/>
              </w:rPr>
              <w:t>块菌栽培苗管护和中药材管护</w:t>
            </w:r>
          </w:p>
        </w:tc>
      </w:tr>
      <w:tr w14:paraId="1C8FC7BC">
        <w:tblPrEx>
          <w:tblCellMar>
            <w:top w:w="15" w:type="dxa"/>
            <w:left w:w="15" w:type="dxa"/>
            <w:bottom w:w="15" w:type="dxa"/>
            <w:right w:w="15" w:type="dxa"/>
          </w:tblCellMar>
        </w:tblPrEx>
        <w:trPr>
          <w:trHeight w:val="620" w:hRule="atLeast"/>
        </w:trPr>
        <w:tc>
          <w:tcPr>
            <w:tcW w:w="32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97F8F3">
            <w:pPr>
              <w:pStyle w:val="39"/>
              <w:spacing w:before="0" w:beforeAutospacing="0" w:after="0" w:afterAutospacing="0"/>
              <w:jc w:val="center"/>
            </w:pPr>
            <w:r>
              <w:rPr>
                <w:rFonts w:hint="eastAsia" w:ascii="宋体" w:hAnsi="宋体" w:eastAsia="宋体"/>
                <w:color w:val="333333"/>
                <w:sz w:val="21"/>
                <w:szCs w:val="21"/>
              </w:rPr>
              <w:t>2025年10月-12月</w:t>
            </w:r>
          </w:p>
        </w:tc>
        <w:tc>
          <w:tcPr>
            <w:tcW w:w="483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A084D7">
            <w:pPr>
              <w:pStyle w:val="39"/>
              <w:spacing w:before="0" w:beforeAutospacing="0" w:after="0" w:afterAutospacing="0"/>
              <w:jc w:val="center"/>
            </w:pPr>
            <w:r>
              <w:rPr>
                <w:rFonts w:hint="eastAsia" w:ascii="宋体" w:hAnsi="宋体" w:eastAsia="宋体"/>
                <w:color w:val="333333"/>
                <w:sz w:val="21"/>
                <w:szCs w:val="21"/>
              </w:rPr>
              <w:t>块菌栽培苗管护，中药材采收测产，项目材料撰写，申请项目现场查定。</w:t>
            </w:r>
          </w:p>
        </w:tc>
      </w:tr>
    </w:tbl>
    <w:p w14:paraId="40340F63">
      <w:pPr>
        <w:pStyle w:val="39"/>
        <w:spacing w:before="0" w:beforeAutospacing="0" w:after="0" w:afterAutospacing="0" w:line="600" w:lineRule="exact"/>
        <w:ind w:firstLine="720"/>
        <w:jc w:val="both"/>
        <w:rPr>
          <w:rFonts w:ascii="仿宋_GB2312" w:eastAsia="仿宋_GB2312"/>
          <w:b/>
          <w:color w:val="000000"/>
          <w:sz w:val="32"/>
          <w:szCs w:val="32"/>
        </w:rPr>
      </w:pPr>
      <w:r>
        <w:rPr>
          <w:rFonts w:hint="eastAsia" w:ascii="仿宋_GB2312" w:eastAsia="仿宋_GB2312"/>
          <w:b/>
          <w:color w:val="000000"/>
          <w:sz w:val="32"/>
          <w:szCs w:val="32"/>
        </w:rPr>
        <w:t>3. 分析评价申报内容是否与实际相符，申报目标是否合理可行。</w:t>
      </w:r>
      <w:r>
        <w:rPr>
          <w:rFonts w:hint="eastAsia" w:ascii="仿宋_GB2312" w:hAnsi="宋体" w:eastAsia="仿宋_GB2312"/>
          <w:color w:val="000000"/>
          <w:sz w:val="32"/>
          <w:szCs w:val="32"/>
        </w:rPr>
        <w:t>项目严格按照项目申报内容以及计划内容实施，已经完成项目指标的98%以上。因此，本项目申报内容与实际符合度高，申报目标合理可行。</w:t>
      </w:r>
    </w:p>
    <w:p w14:paraId="28A5B9D6">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（三）项目自评步骤及方法。</w:t>
      </w:r>
    </w:p>
    <w:p w14:paraId="21D29A5C">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根据本项目的实际情况和评价重点，用来收集相关材料和开展具体评价的方法包括案卷研究法、单位自评法两种。</w:t>
      </w:r>
    </w:p>
    <w:p w14:paraId="09001C51">
      <w:pPr>
        <w:adjustRightInd w:val="0"/>
        <w:snapToGrid w:val="0"/>
        <w:spacing w:line="600" w:lineRule="exact"/>
        <w:ind w:firstLine="720"/>
        <w:rPr>
          <w:rFonts w:eastAsia="黑体"/>
          <w:sz w:val="32"/>
          <w:szCs w:val="32"/>
        </w:rPr>
      </w:pPr>
      <w:r>
        <w:rPr>
          <w:rFonts w:hint="eastAsia" w:eastAsia="黑体"/>
          <w:sz w:val="32"/>
          <w:szCs w:val="32"/>
        </w:rPr>
        <w:t>二、项目资金申报及使用情况</w:t>
      </w:r>
    </w:p>
    <w:p w14:paraId="1229D387">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（一）项目资金申报及批复情况。</w:t>
      </w:r>
    </w:p>
    <w:p w14:paraId="104D891C">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攀西林粮高效复合模式推广示范项目根据项目实施内容和资金计划安排申报项目资金58.37万元，批复资金58.37万元，资金使用建立转款专户，做到了专款专用，由省林草局审定方案后签订实施合同，资金下达批复后全部用于本项目的实施。</w:t>
      </w:r>
    </w:p>
    <w:p w14:paraId="2846FA8C">
      <w:pPr>
        <w:spacing w:line="578" w:lineRule="exact"/>
        <w:ind w:firstLine="640"/>
        <w:rPr>
          <w:rFonts w:eastAsia="仿宋_GB2312" w:cs="仿宋_GB2312"/>
          <w:b/>
          <w:kern w:val="0"/>
          <w:sz w:val="32"/>
          <w:szCs w:val="32"/>
        </w:rPr>
      </w:pPr>
      <w:r>
        <w:rPr>
          <w:rFonts w:hint="eastAsia" w:eastAsia="仿宋_GB2312" w:cs="仿宋_GB2312"/>
          <w:b/>
          <w:kern w:val="0"/>
          <w:sz w:val="32"/>
          <w:szCs w:val="32"/>
        </w:rPr>
        <w:t>（二）资金计划、到位及使用情况</w:t>
      </w:r>
    </w:p>
    <w:p w14:paraId="290FB043">
      <w:pPr>
        <w:pStyle w:val="39"/>
        <w:spacing w:before="0" w:beforeAutospacing="0" w:after="0" w:afterAutospacing="0" w:line="600" w:lineRule="exact"/>
        <w:ind w:firstLine="720"/>
        <w:jc w:val="both"/>
        <w:rPr>
          <w:b/>
        </w:rPr>
      </w:pPr>
      <w:r>
        <w:rPr>
          <w:rFonts w:hint="eastAsia" w:ascii="楷体_GB2312" w:eastAsia="楷体_GB2312"/>
          <w:b/>
          <w:color w:val="000000"/>
          <w:sz w:val="32"/>
          <w:szCs w:val="32"/>
        </w:rPr>
        <w:t>1．资金计划。</w:t>
      </w:r>
    </w:p>
    <w:p w14:paraId="111DD4C9">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资金严格按照《林业改革发展资金管理办法》（财资环〔2021〕39号）和《四川省林草科技成果推广示范项目管理办法》有关规定，执行资金管理。建立专账，专款专用、专账核算，严格按规定的用途和范围使用资金，不挤占和挪用，属于政府采购管理范围的按照国家有关政府采购的规定执行。项目资金使用额度与完成工程量同步，项目资金使用进度与项目实施进度同步。</w:t>
      </w:r>
    </w:p>
    <w:tbl>
      <w:tblPr>
        <w:tblStyle w:val="18"/>
        <w:tblW w:w="0" w:type="auto"/>
        <w:tblInd w:w="-20" w:type="dxa"/>
        <w:tblLayout w:type="fixed"/>
        <w:tblCellMar>
          <w:top w:w="15" w:type="dxa"/>
          <w:left w:w="15" w:type="dxa"/>
          <w:bottom w:w="15" w:type="dxa"/>
          <w:right w:w="15" w:type="dxa"/>
        </w:tblCellMar>
      </w:tblPr>
      <w:tblGrid>
        <w:gridCol w:w="2210"/>
        <w:gridCol w:w="3510"/>
        <w:gridCol w:w="2276"/>
      </w:tblGrid>
      <w:tr w14:paraId="3B85A7A6">
        <w:tblPrEx>
          <w:tblCellMar>
            <w:top w:w="15" w:type="dxa"/>
            <w:left w:w="15" w:type="dxa"/>
            <w:bottom w:w="15" w:type="dxa"/>
            <w:right w:w="15" w:type="dxa"/>
          </w:tblCellMar>
        </w:tblPrEx>
        <w:trPr>
          <w:trHeight w:val="507" w:hRule="atLeast"/>
        </w:trPr>
        <w:tc>
          <w:tcPr>
            <w:tcW w:w="22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98BEDF">
            <w:pPr>
              <w:pStyle w:val="39"/>
              <w:spacing w:before="0" w:beforeAutospacing="0" w:after="0" w:afterAutospacing="0" w:line="360" w:lineRule="exact"/>
              <w:jc w:val="center"/>
            </w:pPr>
            <w:r>
              <w:rPr>
                <w:rFonts w:hint="eastAsia" w:ascii="仿宋" w:hAnsi="仿宋" w:eastAsia="仿宋"/>
                <w:b/>
                <w:bCs/>
                <w:color w:val="000000"/>
              </w:rPr>
              <w:t>年度</w:t>
            </w:r>
          </w:p>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6BBF28">
            <w:pPr>
              <w:pStyle w:val="39"/>
              <w:spacing w:before="0" w:beforeAutospacing="0" w:after="0" w:afterAutospacing="0" w:line="360" w:lineRule="exact"/>
              <w:jc w:val="center"/>
            </w:pPr>
            <w:r>
              <w:rPr>
                <w:rFonts w:hint="eastAsia" w:ascii="仿宋" w:hAnsi="仿宋" w:eastAsia="仿宋"/>
                <w:b/>
                <w:bCs/>
                <w:color w:val="000000"/>
              </w:rPr>
              <w:t>支出内容</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5A26AC">
            <w:pPr>
              <w:pStyle w:val="39"/>
              <w:spacing w:before="0" w:beforeAutospacing="0" w:after="0" w:afterAutospacing="0" w:line="360" w:lineRule="exact"/>
              <w:jc w:val="center"/>
            </w:pPr>
            <w:r>
              <w:rPr>
                <w:rFonts w:hint="eastAsia" w:ascii="仿宋" w:hAnsi="仿宋" w:eastAsia="仿宋"/>
                <w:b/>
                <w:bCs/>
                <w:color w:val="000000"/>
              </w:rPr>
              <w:t>金额（万元）</w:t>
            </w:r>
          </w:p>
        </w:tc>
      </w:tr>
      <w:tr w14:paraId="6294D153">
        <w:tblPrEx>
          <w:tblCellMar>
            <w:top w:w="15" w:type="dxa"/>
            <w:left w:w="15" w:type="dxa"/>
            <w:bottom w:w="15" w:type="dxa"/>
            <w:right w:w="15" w:type="dxa"/>
          </w:tblCellMar>
        </w:tblPrEx>
        <w:trPr>
          <w:trHeight w:val="464" w:hRule="atLeast"/>
        </w:trPr>
        <w:tc>
          <w:tcPr>
            <w:tcW w:w="221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625D3AE">
            <w:pPr>
              <w:pStyle w:val="39"/>
              <w:spacing w:before="0" w:beforeAutospacing="0" w:after="0" w:afterAutospacing="0" w:line="360" w:lineRule="exact"/>
            </w:pPr>
            <w:r>
              <w:rPr>
                <w:rFonts w:hint="eastAsia" w:ascii="仿宋" w:hAnsi="仿宋" w:eastAsia="仿宋"/>
                <w:color w:val="000000"/>
              </w:rPr>
              <w:t>2024年</w:t>
            </w:r>
          </w:p>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DA1CF1">
            <w:pPr>
              <w:pStyle w:val="39"/>
              <w:spacing w:before="0" w:beforeAutospacing="0" w:after="0" w:afterAutospacing="0" w:line="360" w:lineRule="exact"/>
            </w:pPr>
            <w:r>
              <w:rPr>
                <w:rFonts w:hint="eastAsia" w:ascii="仿宋" w:hAnsi="仿宋" w:eastAsia="仿宋"/>
                <w:color w:val="000000"/>
              </w:rPr>
              <w:t>示范基地建设费</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878B77B">
            <w:pPr>
              <w:pStyle w:val="39"/>
              <w:spacing w:before="0" w:beforeAutospacing="0" w:after="0" w:afterAutospacing="0" w:line="360" w:lineRule="exact"/>
            </w:pPr>
            <w:r>
              <w:rPr>
                <w:rFonts w:hint="eastAsia" w:ascii="仿宋" w:hAnsi="仿宋" w:eastAsia="仿宋"/>
                <w:color w:val="000000"/>
              </w:rPr>
              <w:t>31.87</w:t>
            </w:r>
          </w:p>
        </w:tc>
      </w:tr>
      <w:tr w14:paraId="1ED6233C">
        <w:tblPrEx>
          <w:tblCellMar>
            <w:top w:w="15" w:type="dxa"/>
            <w:left w:w="15" w:type="dxa"/>
            <w:bottom w:w="15" w:type="dxa"/>
            <w:right w:w="15" w:type="dxa"/>
          </w:tblCellMar>
        </w:tblPrEx>
        <w:trPr>
          <w:trHeight w:val="423"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5C2B970C"/>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A58A37">
            <w:pPr>
              <w:pStyle w:val="39"/>
              <w:spacing w:before="0" w:beforeAutospacing="0" w:after="0" w:afterAutospacing="0" w:line="360" w:lineRule="exact"/>
            </w:pPr>
            <w:r>
              <w:rPr>
                <w:rFonts w:hint="eastAsia" w:ascii="仿宋" w:hAnsi="仿宋" w:eastAsia="仿宋"/>
                <w:color w:val="000000"/>
              </w:rPr>
              <w:t>小型设备购置</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F02E89">
            <w:pPr>
              <w:pStyle w:val="39"/>
              <w:spacing w:before="0" w:beforeAutospacing="0" w:after="0" w:afterAutospacing="0" w:line="360" w:lineRule="exact"/>
            </w:pPr>
            <w:r>
              <w:rPr>
                <w:rFonts w:hint="eastAsia" w:ascii="仿宋" w:hAnsi="仿宋" w:eastAsia="仿宋"/>
                <w:color w:val="000000"/>
              </w:rPr>
              <w:t>3</w:t>
            </w:r>
          </w:p>
        </w:tc>
      </w:tr>
      <w:tr w14:paraId="1C77B48C">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3CD3B682"/>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4BFF51">
            <w:pPr>
              <w:pStyle w:val="39"/>
              <w:spacing w:before="0" w:beforeAutospacing="0" w:after="0" w:afterAutospacing="0" w:line="360" w:lineRule="exact"/>
            </w:pPr>
            <w:r>
              <w:rPr>
                <w:rFonts w:hint="eastAsia" w:ascii="仿宋" w:hAnsi="仿宋" w:eastAsia="仿宋"/>
                <w:color w:val="000000"/>
              </w:rPr>
              <w:t>简易设施</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9127E04">
            <w:pPr>
              <w:pStyle w:val="39"/>
              <w:spacing w:before="0" w:beforeAutospacing="0" w:after="0" w:afterAutospacing="0" w:line="360" w:lineRule="exact"/>
            </w:pPr>
            <w:r>
              <w:rPr>
                <w:rFonts w:hint="eastAsia" w:ascii="仿宋" w:hAnsi="仿宋" w:eastAsia="仿宋"/>
                <w:color w:val="000000"/>
              </w:rPr>
              <w:t>1.5</w:t>
            </w:r>
          </w:p>
        </w:tc>
      </w:tr>
      <w:tr w14:paraId="55B865B3">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5BB5A258"/>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1070199">
            <w:pPr>
              <w:pStyle w:val="39"/>
              <w:spacing w:before="0" w:beforeAutospacing="0" w:after="0" w:afterAutospacing="0" w:line="360" w:lineRule="exact"/>
            </w:pPr>
            <w:r>
              <w:rPr>
                <w:rFonts w:hint="eastAsia" w:ascii="仿宋" w:hAnsi="仿宋" w:eastAsia="仿宋"/>
                <w:color w:val="000000"/>
              </w:rPr>
              <w:t>技术培训</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037E227">
            <w:pPr>
              <w:pStyle w:val="39"/>
              <w:spacing w:before="0" w:beforeAutospacing="0" w:after="0" w:afterAutospacing="0" w:line="360" w:lineRule="exact"/>
            </w:pPr>
            <w:r>
              <w:rPr>
                <w:rFonts w:hint="eastAsia" w:ascii="仿宋" w:hAnsi="仿宋" w:eastAsia="仿宋"/>
                <w:color w:val="000000"/>
              </w:rPr>
              <w:t>0.8</w:t>
            </w:r>
          </w:p>
        </w:tc>
      </w:tr>
      <w:tr w14:paraId="02917DF4">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49C97B2A"/>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63808C">
            <w:pPr>
              <w:pStyle w:val="39"/>
              <w:spacing w:before="0" w:beforeAutospacing="0" w:after="0" w:afterAutospacing="0" w:line="360" w:lineRule="exact"/>
            </w:pPr>
            <w:r>
              <w:rPr>
                <w:rFonts w:hint="eastAsia" w:ascii="仿宋" w:hAnsi="仿宋" w:eastAsia="仿宋"/>
                <w:color w:val="000000"/>
              </w:rPr>
              <w:t>技术咨询</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4DE0E53">
            <w:pPr>
              <w:pStyle w:val="39"/>
              <w:spacing w:before="0" w:beforeAutospacing="0" w:after="0" w:afterAutospacing="0" w:line="360" w:lineRule="exact"/>
            </w:pPr>
            <w:r>
              <w:rPr>
                <w:rFonts w:hint="eastAsia" w:ascii="仿宋" w:hAnsi="仿宋" w:eastAsia="仿宋"/>
                <w:color w:val="000000"/>
              </w:rPr>
              <w:t>1</w:t>
            </w:r>
          </w:p>
        </w:tc>
      </w:tr>
      <w:tr w14:paraId="6E8A6C81">
        <w:tblPrEx>
          <w:tblCellMar>
            <w:top w:w="15" w:type="dxa"/>
            <w:left w:w="15" w:type="dxa"/>
            <w:bottom w:w="15" w:type="dxa"/>
            <w:right w:w="15" w:type="dxa"/>
          </w:tblCellMar>
        </w:tblPrEx>
        <w:trPr>
          <w:trHeight w:val="431" w:hRule="atLeast"/>
        </w:trPr>
        <w:tc>
          <w:tcPr>
            <w:tcW w:w="221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48DCC7B">
            <w:pPr>
              <w:pStyle w:val="39"/>
              <w:spacing w:before="0" w:beforeAutospacing="0" w:after="0" w:afterAutospacing="0" w:line="360" w:lineRule="exact"/>
            </w:pPr>
            <w:r>
              <w:rPr>
                <w:rFonts w:hint="eastAsia" w:ascii="仿宋" w:hAnsi="仿宋" w:eastAsia="仿宋"/>
                <w:color w:val="000000"/>
              </w:rPr>
              <w:t>2025年</w:t>
            </w:r>
          </w:p>
          <w:p w14:paraId="69A4DD74">
            <w:pPr>
              <w:pStyle w:val="39"/>
              <w:spacing w:before="0" w:beforeAutospacing="0" w:after="0" w:afterAutospacing="0" w:line="360" w:lineRule="exact"/>
            </w:pPr>
          </w:p>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9841630">
            <w:pPr>
              <w:pStyle w:val="39"/>
              <w:spacing w:before="0" w:beforeAutospacing="0" w:after="0" w:afterAutospacing="0" w:line="360" w:lineRule="exact"/>
            </w:pPr>
            <w:r>
              <w:rPr>
                <w:rFonts w:hint="eastAsia" w:ascii="仿宋" w:hAnsi="仿宋" w:eastAsia="仿宋"/>
                <w:color w:val="000000"/>
              </w:rPr>
              <w:t>示范基地建设费</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9CC2ED6">
            <w:pPr>
              <w:pStyle w:val="39"/>
              <w:spacing w:before="0" w:beforeAutospacing="0" w:after="0" w:afterAutospacing="0" w:line="360" w:lineRule="exact"/>
            </w:pPr>
            <w:r>
              <w:rPr>
                <w:rFonts w:hint="eastAsia" w:ascii="仿宋" w:hAnsi="仿宋" w:eastAsia="仿宋"/>
                <w:color w:val="000000"/>
              </w:rPr>
              <w:t>19</w:t>
            </w:r>
          </w:p>
        </w:tc>
      </w:tr>
      <w:tr w14:paraId="36ABB690">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3D79028E"/>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2747900">
            <w:pPr>
              <w:pStyle w:val="39"/>
              <w:spacing w:before="0" w:beforeAutospacing="0" w:after="0" w:afterAutospacing="0" w:line="360" w:lineRule="exact"/>
            </w:pPr>
            <w:r>
              <w:rPr>
                <w:rFonts w:hint="eastAsia" w:ascii="仿宋" w:hAnsi="仿宋" w:eastAsia="仿宋"/>
                <w:color w:val="000000"/>
              </w:rPr>
              <w:t>小型设备购置</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67237">
            <w:pPr>
              <w:pStyle w:val="39"/>
              <w:spacing w:before="0" w:beforeAutospacing="0" w:after="0" w:afterAutospacing="0" w:line="360" w:lineRule="exact"/>
            </w:pPr>
            <w:r>
              <w:rPr>
                <w:rFonts w:hint="eastAsia" w:ascii="仿宋" w:hAnsi="仿宋" w:eastAsia="仿宋"/>
                <w:color w:val="000000"/>
              </w:rPr>
              <w:t>0</w:t>
            </w:r>
          </w:p>
        </w:tc>
      </w:tr>
      <w:tr w14:paraId="6BBB7EB0">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295A70A4"/>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02BE156">
            <w:pPr>
              <w:pStyle w:val="39"/>
              <w:spacing w:before="0" w:beforeAutospacing="0" w:after="0" w:afterAutospacing="0" w:line="360" w:lineRule="exact"/>
            </w:pPr>
            <w:r>
              <w:rPr>
                <w:rFonts w:hint="eastAsia" w:ascii="仿宋" w:hAnsi="仿宋" w:eastAsia="仿宋"/>
                <w:color w:val="000000"/>
              </w:rPr>
              <w:t>简易设施</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C0DF2A">
            <w:pPr>
              <w:pStyle w:val="39"/>
              <w:spacing w:before="0" w:beforeAutospacing="0" w:after="0" w:afterAutospacing="0" w:line="360" w:lineRule="exact"/>
            </w:pPr>
            <w:r>
              <w:rPr>
                <w:rFonts w:hint="eastAsia" w:ascii="仿宋" w:hAnsi="仿宋" w:eastAsia="仿宋"/>
                <w:color w:val="000000"/>
              </w:rPr>
              <w:t>0</w:t>
            </w:r>
          </w:p>
        </w:tc>
      </w:tr>
      <w:tr w14:paraId="15CE8DE0">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33EBC3BA"/>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D9B4F0">
            <w:pPr>
              <w:pStyle w:val="39"/>
              <w:spacing w:before="0" w:beforeAutospacing="0" w:after="0" w:afterAutospacing="0" w:line="360" w:lineRule="exact"/>
            </w:pPr>
            <w:r>
              <w:rPr>
                <w:rFonts w:hint="eastAsia" w:ascii="仿宋" w:hAnsi="仿宋" w:eastAsia="仿宋"/>
                <w:color w:val="000000"/>
              </w:rPr>
              <w:t>技术培训</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80C193">
            <w:pPr>
              <w:pStyle w:val="39"/>
              <w:spacing w:before="0" w:beforeAutospacing="0" w:after="0" w:afterAutospacing="0" w:line="360" w:lineRule="exact"/>
            </w:pPr>
            <w:r>
              <w:rPr>
                <w:rFonts w:hint="eastAsia" w:ascii="仿宋" w:hAnsi="仿宋" w:eastAsia="仿宋"/>
                <w:color w:val="000000"/>
              </w:rPr>
              <w:t>0.2</w:t>
            </w:r>
          </w:p>
        </w:tc>
      </w:tr>
      <w:tr w14:paraId="4799958B">
        <w:tblPrEx>
          <w:tblCellMar>
            <w:top w:w="15" w:type="dxa"/>
            <w:left w:w="15" w:type="dxa"/>
            <w:bottom w:w="15" w:type="dxa"/>
            <w:right w:w="15" w:type="dxa"/>
          </w:tblCellMar>
        </w:tblPrEx>
        <w:trPr>
          <w:trHeight w:val="408"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117639B4"/>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D0DD4F4">
            <w:pPr>
              <w:pStyle w:val="39"/>
              <w:spacing w:before="0" w:beforeAutospacing="0" w:after="0" w:afterAutospacing="0" w:line="360" w:lineRule="exact"/>
            </w:pPr>
            <w:r>
              <w:rPr>
                <w:rFonts w:hint="eastAsia" w:ascii="仿宋" w:hAnsi="仿宋" w:eastAsia="仿宋"/>
                <w:color w:val="000000"/>
              </w:rPr>
              <w:t>技术咨询</w:t>
            </w: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7C2D35E">
            <w:pPr>
              <w:pStyle w:val="39"/>
              <w:spacing w:before="0" w:beforeAutospacing="0" w:after="0" w:afterAutospacing="0" w:line="360" w:lineRule="exact"/>
            </w:pPr>
            <w:r>
              <w:rPr>
                <w:rFonts w:hint="eastAsia" w:ascii="仿宋" w:hAnsi="仿宋" w:eastAsia="仿宋"/>
                <w:color w:val="000000"/>
              </w:rPr>
              <w:t>1</w:t>
            </w:r>
          </w:p>
        </w:tc>
      </w:tr>
      <w:tr w14:paraId="32821DBA">
        <w:tblPrEx>
          <w:tblCellMar>
            <w:top w:w="15" w:type="dxa"/>
            <w:left w:w="15" w:type="dxa"/>
            <w:bottom w:w="15" w:type="dxa"/>
            <w:right w:w="15" w:type="dxa"/>
          </w:tblCellMar>
        </w:tblPrEx>
        <w:trPr>
          <w:trHeight w:val="408" w:hRule="atLeast"/>
        </w:trPr>
        <w:tc>
          <w:tcPr>
            <w:tcW w:w="22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DF2C45">
            <w:pPr>
              <w:pStyle w:val="39"/>
              <w:spacing w:before="0" w:beforeAutospacing="0" w:after="0" w:afterAutospacing="0" w:line="360" w:lineRule="exact"/>
            </w:pPr>
            <w:r>
              <w:rPr>
                <w:rFonts w:hint="eastAsia" w:ascii="仿宋" w:hAnsi="仿宋" w:eastAsia="仿宋"/>
                <w:color w:val="000000"/>
              </w:rPr>
              <w:t>合计</w:t>
            </w:r>
          </w:p>
        </w:tc>
        <w:tc>
          <w:tcPr>
            <w:tcW w:w="35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ED2AF4">
            <w:pPr>
              <w:pStyle w:val="39"/>
              <w:spacing w:before="0" w:beforeAutospacing="0" w:after="0" w:afterAutospacing="0" w:line="360" w:lineRule="exact"/>
            </w:pPr>
          </w:p>
        </w:tc>
        <w:tc>
          <w:tcPr>
            <w:tcW w:w="22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AA3E21">
            <w:pPr>
              <w:pStyle w:val="39"/>
              <w:spacing w:before="0" w:beforeAutospacing="0" w:after="0" w:afterAutospacing="0" w:line="360" w:lineRule="exact"/>
            </w:pPr>
            <w:r>
              <w:rPr>
                <w:rFonts w:hint="eastAsia" w:ascii="仿宋" w:hAnsi="仿宋" w:eastAsia="仿宋"/>
                <w:color w:val="000000"/>
              </w:rPr>
              <w:t>58.37</w:t>
            </w:r>
          </w:p>
        </w:tc>
      </w:tr>
    </w:tbl>
    <w:p w14:paraId="6F4F0119">
      <w:pPr>
        <w:pStyle w:val="39"/>
        <w:spacing w:before="0" w:beforeAutospacing="0" w:after="0" w:afterAutospacing="0" w:line="600" w:lineRule="exact"/>
        <w:ind w:firstLine="720"/>
        <w:jc w:val="both"/>
        <w:rPr>
          <w:b/>
        </w:rPr>
      </w:pPr>
      <w:r>
        <w:rPr>
          <w:rFonts w:hint="eastAsia" w:ascii="楷体_GB2312" w:eastAsia="楷体_GB2312"/>
          <w:b/>
          <w:color w:val="000000"/>
          <w:sz w:val="32"/>
          <w:szCs w:val="32"/>
        </w:rPr>
        <w:t>2．资金到位。</w:t>
      </w:r>
    </w:p>
    <w:p w14:paraId="02AD3566">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项目资金到位及时，到位率为100%，可见川财资环[2024]16号文件《四川省财政厅四川省林业和草原局关于下达2024年中央财政林业草原专项资金预算（第一批）的通知》。</w:t>
      </w:r>
    </w:p>
    <w:p w14:paraId="52BC2D12">
      <w:pPr>
        <w:pStyle w:val="39"/>
        <w:spacing w:before="0" w:beforeAutospacing="0" w:after="0" w:afterAutospacing="0" w:line="600" w:lineRule="exact"/>
        <w:ind w:firstLine="720"/>
        <w:jc w:val="both"/>
        <w:rPr>
          <w:rFonts w:ascii="楷体_GB2312" w:eastAsia="楷体_GB2312"/>
          <w:color w:val="000000"/>
          <w:sz w:val="32"/>
          <w:szCs w:val="32"/>
        </w:rPr>
      </w:pPr>
      <w:r>
        <w:rPr>
          <w:rFonts w:hint="eastAsia" w:ascii="楷体_GB2312" w:eastAsia="楷体_GB2312"/>
          <w:color w:val="000000"/>
          <w:sz w:val="32"/>
          <w:szCs w:val="32"/>
        </w:rPr>
        <w:t>3．资金使用。</w:t>
      </w:r>
    </w:p>
    <w:p w14:paraId="046308AC">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项目资金严格按照《林业改革发展资金管理办法》（财资环〔2021〕39号）和《四川省林草科技成果推广示范项目管理办法》有关规定，执行资金管理。建立专账，专款专用、专账核算，严格按规定的用途和范围使用资金，不挤占和挪用，属于政府采购管理范围的按照国家有关政府采购的规定执行。项目资金使用额度与完成工程量同步，项目资金使用进度与项目实施进度同步。</w:t>
      </w:r>
    </w:p>
    <w:p w14:paraId="2B82F742">
      <w:pPr>
        <w:pStyle w:val="39"/>
        <w:spacing w:before="0" w:beforeAutospacing="0" w:after="0" w:afterAutospacing="0" w:line="600" w:lineRule="exact"/>
        <w:ind w:firstLine="720"/>
        <w:jc w:val="both"/>
        <w:rPr>
          <w:rFonts w:ascii="仿宋_GB2312" w:hAnsi="宋体" w:eastAsia="仿宋_GB2312"/>
          <w:color w:val="000000"/>
          <w:sz w:val="32"/>
          <w:szCs w:val="32"/>
        </w:rPr>
      </w:pPr>
      <w:r>
        <w:rPr>
          <w:rFonts w:hint="eastAsia" w:ascii="仿宋_GB2312" w:hAnsi="宋体" w:eastAsia="仿宋_GB2312"/>
          <w:color w:val="000000"/>
          <w:sz w:val="32"/>
          <w:szCs w:val="32"/>
        </w:rPr>
        <w:t>项目总经费58.37万元，根据项目进展已经使用57.83万元，其中设备费支出1.6万元，购买生化培养箱，主要用于菌种的培养，材料费支出39.29万元，主要用于菌根苗培养和基地建设，差旅费2.52万元，主要用于基地建设所产生的差旅费，劳务费12.81万元主要用于菌根苗培育和林下粮食作物种植所产生的费用，包括专家费，主要用于邀请外国专家对块菌菌根苗检测和基地建设指导等所产生的费用，印刷费0.98万元，主要用于资料印刷，广告牌制作等，其他交通费0.35万元，主要用于车辆租用，运输材料费等，委托业务费0.28万元，主要用于项目资金的审计费用，结余0.54万元用于项目验收。项目资金都严格按照林草项目资金管理以及单位制定的资金管理办法合理使用。</w:t>
      </w:r>
    </w:p>
    <w:p w14:paraId="73A4D5AB">
      <w:pPr>
        <w:pStyle w:val="39"/>
        <w:spacing w:before="0" w:beforeAutospacing="0" w:after="0" w:afterAutospacing="0" w:line="600" w:lineRule="exact"/>
        <w:ind w:firstLine="720"/>
        <w:jc w:val="both"/>
      </w:pPr>
      <w:r>
        <w:rPr>
          <w:rFonts w:hint="eastAsia" w:ascii="Times New Roman" w:hAnsi="Times New Roman" w:eastAsia="仿宋_GB2312" w:cs="仿宋_GB2312"/>
          <w:b/>
          <w:sz w:val="32"/>
          <w:szCs w:val="32"/>
        </w:rPr>
        <w:t>（三）项目财务管理情况。</w:t>
      </w:r>
    </w:p>
    <w:p w14:paraId="4DF35E01">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组根据项目实施内容，按照财务管理要求，计划项目资金分配，按照《四川省省级林业草原改革发展专项资金管理办法》（川财资环[2022]34号、36号）要求和项目管理的相关制度，对项目资金进行严格的管理和使用，每一笔开支均实行三级监管（项目组长—财务—分管副院长）。严格按照《中央财政林业科技推广示范资金管理暂行办法》实施细则相关规定使用，设立项目资金专账，实行专账核算，保证资金的安全运营。</w:t>
      </w:r>
    </w:p>
    <w:p w14:paraId="5B34EF5F">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ascii="仿宋_GB2312" w:hAnsi="宋体" w:eastAsia="仿宋_GB2312"/>
          <w:color w:val="000000"/>
          <w:sz w:val="32"/>
          <w:szCs w:val="32"/>
        </w:rPr>
        <w:t>.</w:t>
      </w:r>
      <w:r>
        <w:rPr>
          <w:rFonts w:hint="eastAsia" w:ascii="仿宋_GB2312" w:hAnsi="宋体" w:eastAsia="仿宋_GB2312"/>
          <w:color w:val="000000"/>
          <w:sz w:val="32"/>
          <w:szCs w:val="32"/>
        </w:rPr>
        <w:t>按照《攀枝花市农林科学研究院科研项目管理办法》攀农林[2019]56号文件和《攀枝花市农林科学研究院非政府采购类项目的采购管理办法》59号文件，严格规范资金审核制度，明确开支范围，保证专款专用，加强专项资金使用效益。</w:t>
      </w:r>
    </w:p>
    <w:p w14:paraId="64254F74">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w:t>
      </w:r>
      <w:r>
        <w:rPr>
          <w:rFonts w:ascii="仿宋_GB2312" w:hAnsi="宋体" w:eastAsia="仿宋_GB2312"/>
          <w:color w:val="000000"/>
          <w:sz w:val="32"/>
          <w:szCs w:val="32"/>
        </w:rPr>
        <w:t>.</w:t>
      </w:r>
      <w:r>
        <w:rPr>
          <w:rFonts w:hint="eastAsia" w:ascii="仿宋_GB2312" w:hAnsi="宋体" w:eastAsia="仿宋_GB2312"/>
          <w:color w:val="000000"/>
          <w:sz w:val="32"/>
          <w:szCs w:val="32"/>
        </w:rPr>
        <w:t>严格执行项目预算，分年度执行的项目经费预算，按照要求进行中期检查或评估，做好年终资金结转审批工作。</w:t>
      </w:r>
    </w:p>
    <w:p w14:paraId="67853CA8">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w:t>
      </w:r>
      <w:r>
        <w:rPr>
          <w:rFonts w:ascii="仿宋_GB2312" w:hAnsi="宋体" w:eastAsia="仿宋_GB2312"/>
          <w:color w:val="000000"/>
          <w:sz w:val="32"/>
          <w:szCs w:val="32"/>
        </w:rPr>
        <w:t>.</w:t>
      </w:r>
      <w:r>
        <w:rPr>
          <w:rFonts w:hint="eastAsia" w:ascii="仿宋_GB2312" w:hAnsi="宋体" w:eastAsia="仿宋_GB2312"/>
          <w:color w:val="000000"/>
          <w:sz w:val="32"/>
          <w:szCs w:val="32"/>
        </w:rPr>
        <w:t>项目资金按照项目的计划和进度在规定的范围内合理规范开支，无虚报、冒领、骗取、挪用、虚列支出、无截留、挤占和挪用等不规范和违法的资金使用情况。</w:t>
      </w:r>
    </w:p>
    <w:p w14:paraId="758C9344">
      <w:pPr>
        <w:pStyle w:val="39"/>
        <w:spacing w:before="0" w:beforeAutospacing="0" w:after="0" w:afterAutospacing="0" w:line="600" w:lineRule="exact"/>
        <w:ind w:firstLine="720"/>
        <w:jc w:val="both"/>
      </w:pPr>
      <w:r>
        <w:rPr>
          <w:rFonts w:hint="eastAsia" w:ascii="黑体" w:hAnsi="黑体" w:eastAsia="黑体"/>
          <w:color w:val="000000"/>
          <w:sz w:val="32"/>
          <w:szCs w:val="32"/>
        </w:rPr>
        <w:t>三、项目实施及管理情况</w:t>
      </w:r>
    </w:p>
    <w:p w14:paraId="573699F6">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（一）项目组织架构及实施流程。</w:t>
      </w:r>
    </w:p>
    <w:p w14:paraId="219E533B">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承担单位实行项目组长负责制，项目技术负责人负责制，项目组成员明确分工，项目组长主要负责项目的整体实施，技术负责人主要负责项目的技术转化和创新。项目清晰归档，档案由文件档案、技术档案、培训档案、项目日志、图片档案和财务档案六部分组成，都有不同的专业人员负责，项目组负责编写项目实施方案，组织项目实施，撰写总结等，院财务室负责对项目经费开支情况进行审核。</w:t>
      </w:r>
    </w:p>
    <w:p w14:paraId="34E9A133">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（二）项目管理情况。</w:t>
      </w:r>
    </w:p>
    <w:p w14:paraId="65A6F4A0">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本项目按照项目实施进度，围绕项目经费预算，严格按照省、市、院科技管理资金的使用要求进行开支，每一笔开支均实行三级监管（项目组长—财务—分管副院长），物资采购严格按照攀枝花市农林院《全院非政府采购类项目的采购管理暂行办法》（攀农林[2021]26号文）进行审批，手续完整、程序合规。因此，项目资金的使用安全、规范、有效，资金支付范围、支付标准、支付进度、支付依据等合规合法、与预算相符。</w:t>
      </w:r>
    </w:p>
    <w:p w14:paraId="2FE85BBB">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（三）项目监管情况。</w:t>
      </w:r>
    </w:p>
    <w:p w14:paraId="6B48A3C4">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本项目管理实行自上而下的管理模式，项目下达单位对项目制定的实施方案进行审核，并根据项目实施方案对项目实施过程进行监督和检查；项目承担单位实行项目组长负责制，项目组成员明确分工，项目组负责编写项目实施方案，组织项目实施，撰写总结等，院财务室负责对项目经费开支情况进行审核，院学术委员会负责对项目实施情况进行抽查；项目承担单位科技管理科对项目申报、实施、验收等进行全程监督和管理。本项目自实施以来，每个环节均有严格的制度办法规范工作，并在严格的监督下开展，未出现工作失误等情况。</w:t>
      </w:r>
    </w:p>
    <w:p w14:paraId="065EFACE">
      <w:pPr>
        <w:pStyle w:val="39"/>
        <w:spacing w:before="0" w:beforeAutospacing="0" w:after="0" w:afterAutospacing="0" w:line="600" w:lineRule="exact"/>
        <w:ind w:firstLine="720"/>
        <w:jc w:val="both"/>
      </w:pPr>
      <w:r>
        <w:rPr>
          <w:rFonts w:hint="eastAsia" w:ascii="黑体" w:hAnsi="黑体" w:eastAsia="黑体"/>
          <w:color w:val="000000"/>
          <w:sz w:val="32"/>
          <w:szCs w:val="32"/>
        </w:rPr>
        <w:t>四、项目绩效情况</w:t>
      </w:r>
    </w:p>
    <w:p w14:paraId="144E5F8C">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（一）项目完成情况。</w:t>
      </w:r>
    </w:p>
    <w:p w14:paraId="160E6C97">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已经完成了6100株菌根苗的培育，菌根平均感染率91.35%，新建块菌示范基地48亩，通过调查成活率96.37%；块菌幼林期行间套种高效益粮食作物藜麦2亩，每亩产生3100元的经济效益，中药材5亩，1.39万/亩，利用废弃果枝种植食用菌5亩，亩产值1.2万元以上；培训林农381人次，发放培训资料1050份，技能提升94.4%；新建示范基地2个，示范点2个，培养技术骨干7名和科技示范户6户，项目已完成总任务的98%以上，项目已在2025年10月份由四川省林业和草原局组织有关专家到项目基地进行现场查定，并听取会议报告。目前为止，项目经费为58.37万元，已使用57.83万元，资金使用率为99%，项目实施与资金使用进度匹配。</w:t>
      </w:r>
    </w:p>
    <w:p w14:paraId="71BFA37C">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（二）项目效益情况。</w:t>
      </w:r>
    </w:p>
    <w:p w14:paraId="3EF99031">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经济效益:种植与块菌共生经济作物的基地建成后第3周年初产，亩产值约900元。随着块菌树的生长，菌根量不断增加，块菌和板栗、美国山核桃、榛子的产量不断提高。预计到第7年后块菌和经济作物进入盛产期，保守估计年亩产值1万元以上。块菌栽培一次投入，可持续采收30-50年，收益期长，是一种特色高效可持续的林业产业。块菌幼林林下种植粮食作物或中药材增加块菌幼林经济效益3000元/亩以上，实现长短结合；利用废弃果枝林下栽培食用菌，块菌幼林套种食用菌，每亩新增1万元以上。</w:t>
      </w:r>
    </w:p>
    <w:p w14:paraId="2990678F">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社会效益:块菌仿生栽培的有效实施，能提高当地农民对块菌保护性开发和利用意识，实现块菌资源的可持续利用，提高攀枝花块菌的产量、品质和价格，为“攀枝花块菌”特色地标品牌的打造提供坚实支撑，加速我国块菌产业的发展和提升国际竞争力。废弃资源循环利用能有效提高林地综合利用率和附加值，通过举办培训和现场指导，培训食用菌种植从业人员381人次，发放培训手册1050余份，编印块菌技术手册1份，技能提高94.4%。重点培训科技示范户6户，技术骨干7人，打造2个科技示范点。大大提高村、点、农户的食用菌林下种植管理技术水平。项目实施建设对调整农村产业结构和农村劳动力的转移，促进山区农民的持续增收和社会稳定产生重要影响，为林区特色经济发展开辟了一条生态和致富并举之路。</w:t>
      </w:r>
    </w:p>
    <w:p w14:paraId="355C57C8">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生态效益:块菌属于共生菌根食用菌，必须与活体的植物根共生才能完成其生活史。块菌形成菌根后，改变土壤理化和微生物结构，促进植物生长，提高植物抗性。绿化荒山，美化环境，还能解决水土流失，修护长江上游脆弱生态系统，具有显著的生态效益。林下废弃果枝种植食用菌种植项目，充分利用土地资源和废弃果枝资源，使果农、菇农增收，保护生态环境。利用废弃果树枝条发展食用菌，走的是“果-菇-肥-果”的低碳循环经济道路。食用菌采收剩余菌包成为最好的有机肥料，还田能改良土壤，增加土壤有机质含量，提升水果产量和品质，实现废物的循环利用，符合国家乡镇振兴产业发展战略，具有较大生态效益。</w:t>
      </w:r>
    </w:p>
    <w:p w14:paraId="7E70DBE4">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本项目是可持续性项目，项目实施的服务对象满意度98%，技能提高率达到94.4%以上。</w:t>
      </w:r>
    </w:p>
    <w:p w14:paraId="67EAF2E1">
      <w:pPr>
        <w:pStyle w:val="39"/>
        <w:spacing w:before="0" w:beforeAutospacing="0" w:after="0" w:afterAutospacing="0" w:line="600" w:lineRule="exact"/>
        <w:ind w:firstLine="720"/>
        <w:jc w:val="both"/>
      </w:pPr>
      <w:r>
        <w:rPr>
          <w:rFonts w:hint="eastAsia" w:ascii="黑体" w:hAnsi="黑体" w:eastAsia="黑体"/>
          <w:color w:val="000000"/>
          <w:sz w:val="32"/>
          <w:szCs w:val="32"/>
        </w:rPr>
        <w:t>五、评价结论及建议</w:t>
      </w:r>
    </w:p>
    <w:p w14:paraId="7F594612">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（一）评价结论。</w:t>
      </w:r>
    </w:p>
    <w:p w14:paraId="6E2E4745">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项目组严格按照项目计划任务书和项目实施方案，全面、优质、高效地完成了各项目标任务，以格萨拉和大龙潭2个乡为示范点，有效实施了块菌幼林间套种粮食作物、中草药和食用菌，实现了以短养长，长短相结合的块菌种植新模式，填补了块菌产出前期没有收益的空缺，项目实施期间培养了技术骨干和示范户，为攀枝花块菌种植具有较强的科技支撑，同时也为攀枝花块菌产业发展奠定坚实的基础。项目评价总分为：</w:t>
      </w:r>
      <w:r>
        <w:rPr>
          <w:rFonts w:ascii="仿宋_GB2312" w:hAnsi="宋体" w:eastAsia="仿宋_GB2312"/>
          <w:color w:val="000000"/>
          <w:sz w:val="32"/>
          <w:szCs w:val="32"/>
        </w:rPr>
        <w:t>100</w:t>
      </w:r>
      <w:r>
        <w:rPr>
          <w:rFonts w:hint="eastAsia" w:ascii="仿宋_GB2312" w:hAnsi="宋体" w:eastAsia="仿宋_GB2312"/>
          <w:color w:val="000000"/>
          <w:sz w:val="32"/>
          <w:szCs w:val="32"/>
        </w:rPr>
        <w:t>分。</w:t>
      </w:r>
    </w:p>
    <w:p w14:paraId="37FAA558">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（二）存在的问题。</w:t>
      </w:r>
    </w:p>
    <w:p w14:paraId="5A6EB90E">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ascii="仿宋_GB2312" w:hAnsi="宋体" w:eastAsia="仿宋_GB2312"/>
          <w:color w:val="000000"/>
          <w:sz w:val="32"/>
          <w:szCs w:val="32"/>
        </w:rPr>
        <w:t>.</w:t>
      </w:r>
      <w:r>
        <w:rPr>
          <w:rFonts w:hint="eastAsia" w:ascii="仿宋_GB2312" w:hAnsi="宋体" w:eastAsia="仿宋_GB2312"/>
          <w:color w:val="000000"/>
          <w:sz w:val="32"/>
          <w:szCs w:val="32"/>
        </w:rPr>
        <w:t>对财务科目理解不深刻，导致预算科目不准确，项目预算及自评不够精准，因此资金使用略有调整，资金使用与预算存在较小差异。</w:t>
      </w:r>
    </w:p>
    <w:p w14:paraId="402473BA">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w:t>
      </w:r>
      <w:r>
        <w:rPr>
          <w:rFonts w:ascii="仿宋_GB2312" w:hAnsi="宋体" w:eastAsia="仿宋_GB2312"/>
          <w:color w:val="000000"/>
          <w:sz w:val="32"/>
          <w:szCs w:val="32"/>
        </w:rPr>
        <w:t>.</w:t>
      </w:r>
      <w:r>
        <w:rPr>
          <w:rFonts w:hint="eastAsia" w:ascii="仿宋_GB2312" w:hAnsi="宋体" w:eastAsia="仿宋_GB2312"/>
          <w:color w:val="000000"/>
          <w:sz w:val="32"/>
          <w:szCs w:val="32"/>
        </w:rPr>
        <w:t>在绩效指标完成过程中，由于对不可预见问题处理不到位，个别指标完成不完美。</w:t>
      </w:r>
    </w:p>
    <w:p w14:paraId="4DE426C5">
      <w:pPr>
        <w:pStyle w:val="39"/>
        <w:spacing w:before="0" w:beforeAutospacing="0" w:after="0" w:afterAutospacing="0" w:line="600" w:lineRule="exact"/>
        <w:ind w:firstLine="720"/>
        <w:jc w:val="both"/>
        <w:rPr>
          <w:rFonts w:ascii="Times New Roman" w:hAnsi="Times New Roman" w:eastAsia="仿宋_GB2312" w:cs="仿宋_GB2312"/>
          <w:b/>
          <w:sz w:val="32"/>
          <w:szCs w:val="32"/>
        </w:rPr>
      </w:pPr>
      <w:r>
        <w:rPr>
          <w:rFonts w:hint="eastAsia" w:ascii="Times New Roman" w:hAnsi="Times New Roman" w:eastAsia="仿宋_GB2312" w:cs="仿宋_GB2312"/>
          <w:b/>
          <w:sz w:val="32"/>
          <w:szCs w:val="32"/>
        </w:rPr>
        <w:t>（三）相关建议。</w:t>
      </w:r>
    </w:p>
    <w:p w14:paraId="111F8375">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ascii="仿宋_GB2312" w:hAnsi="宋体" w:eastAsia="仿宋_GB2312"/>
          <w:color w:val="000000"/>
          <w:sz w:val="32"/>
          <w:szCs w:val="32"/>
        </w:rPr>
        <w:t>.</w:t>
      </w:r>
      <w:r>
        <w:rPr>
          <w:rFonts w:hint="eastAsia" w:ascii="仿宋_GB2312" w:hAnsi="宋体" w:eastAsia="仿宋_GB2312"/>
          <w:color w:val="000000"/>
          <w:sz w:val="32"/>
          <w:szCs w:val="32"/>
        </w:rPr>
        <w:t>在项目预算钱多学习沟通，进一步提高认识，加强项目预算和资金使用。</w:t>
      </w:r>
    </w:p>
    <w:p w14:paraId="6CDF98FC">
      <w:pPr>
        <w:pStyle w:val="39"/>
        <w:spacing w:before="0" w:beforeAutospacing="0" w:after="0" w:afterAutospacing="0" w:line="360" w:lineRule="auto"/>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w:t>
      </w:r>
      <w:r>
        <w:rPr>
          <w:rFonts w:ascii="仿宋_GB2312" w:hAnsi="宋体" w:eastAsia="仿宋_GB2312"/>
          <w:color w:val="000000"/>
          <w:sz w:val="32"/>
          <w:szCs w:val="32"/>
        </w:rPr>
        <w:t>.</w:t>
      </w:r>
      <w:r>
        <w:rPr>
          <w:rFonts w:hint="eastAsia" w:ascii="仿宋_GB2312" w:hAnsi="宋体" w:eastAsia="仿宋_GB2312"/>
          <w:color w:val="000000"/>
          <w:sz w:val="32"/>
          <w:szCs w:val="32"/>
        </w:rPr>
        <w:t>多学习请教，做好项目预案，以防不可预见问题处理措手不及。</w:t>
      </w:r>
    </w:p>
    <w:p w14:paraId="21281083">
      <w:pPr>
        <w:pStyle w:val="39"/>
        <w:spacing w:before="0" w:beforeAutospacing="0" w:after="0" w:afterAutospacing="0" w:line="360" w:lineRule="auto"/>
        <w:ind w:firstLine="480" w:firstLineChars="200"/>
        <w:rPr>
          <w:rFonts w:ascii="宋体" w:hAnsi="宋体" w:eastAsia="宋体"/>
          <w:color w:val="333333"/>
        </w:rPr>
      </w:pPr>
    </w:p>
    <w:p w14:paraId="055E6A4A">
      <w:pPr>
        <w:spacing w:line="578" w:lineRule="exact"/>
        <w:ind w:firstLine="640"/>
        <w:jc w:val="center"/>
        <w:rPr>
          <w:rFonts w:ascii="方正小标宋简体" w:eastAsia="方正小标宋简体" w:cs="仿宋_GB2312"/>
          <w:kern w:val="0"/>
          <w:sz w:val="40"/>
          <w:szCs w:val="40"/>
        </w:rPr>
      </w:pPr>
    </w:p>
    <w:p w14:paraId="164543C8">
      <w:pPr>
        <w:spacing w:line="578" w:lineRule="exact"/>
        <w:ind w:firstLine="640"/>
        <w:jc w:val="center"/>
        <w:rPr>
          <w:rFonts w:ascii="方正小标宋简体" w:eastAsia="方正小标宋简体" w:cs="仿宋_GB2312"/>
          <w:kern w:val="0"/>
          <w:sz w:val="40"/>
          <w:szCs w:val="40"/>
        </w:rPr>
      </w:pPr>
      <w:r>
        <w:rPr>
          <w:rFonts w:ascii="方正小标宋简体" w:eastAsia="方正小标宋简体" w:cs="仿宋_GB2312"/>
          <w:kern w:val="0"/>
          <w:sz w:val="40"/>
          <w:szCs w:val="40"/>
        </w:rPr>
        <w:br w:type="page"/>
      </w:r>
    </w:p>
    <w:p w14:paraId="2CCF6A25">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w:t>
      </w:r>
    </w:p>
    <w:p w14:paraId="70246A9F">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2025年“三区”科技人才支持计划</w:t>
      </w:r>
    </w:p>
    <w:p w14:paraId="58BB2423">
      <w:pPr>
        <w:spacing w:line="578" w:lineRule="exact"/>
        <w:ind w:firstLine="640"/>
        <w:rPr>
          <w:rFonts w:eastAsia="仿宋_GB2312" w:cs="仿宋_GB2312"/>
          <w:kern w:val="0"/>
          <w:sz w:val="32"/>
          <w:szCs w:val="32"/>
        </w:rPr>
      </w:pPr>
    </w:p>
    <w:p w14:paraId="4934313F">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3935F246">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28C1EFDD">
      <w:pPr>
        <w:spacing w:line="578" w:lineRule="exact"/>
        <w:ind w:firstLine="640"/>
        <w:rPr>
          <w:rFonts w:eastAsia="仿宋_GB2312" w:cs="仿宋_GB2312"/>
          <w:b/>
          <w:kern w:val="0"/>
          <w:sz w:val="32"/>
          <w:szCs w:val="32"/>
        </w:rPr>
      </w:pPr>
      <w:r>
        <w:rPr>
          <w:rFonts w:eastAsia="仿宋_GB2312" w:cs="仿宋_GB2312"/>
          <w:b/>
          <w:kern w:val="0"/>
          <w:sz w:val="32"/>
          <w:szCs w:val="32"/>
        </w:rPr>
        <w:t>1．说明项目主管部门在该项目管理中的职能。</w:t>
      </w:r>
      <w:r>
        <w:rPr>
          <w:rFonts w:hint="eastAsia" w:eastAsia="仿宋_GB2312" w:cs="仿宋_GB2312"/>
          <w:kern w:val="0"/>
          <w:sz w:val="32"/>
          <w:szCs w:val="32"/>
        </w:rPr>
        <w:t>攀枝花市农林科学研究院作为项目依托单位，负责专家团队管理、技术推广及资金使用。</w:t>
      </w:r>
    </w:p>
    <w:p w14:paraId="4D8E0FF8">
      <w:pPr>
        <w:spacing w:line="578" w:lineRule="exact"/>
        <w:ind w:firstLine="482" w:firstLineChars="15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项目立项、资金申报的依据。</w:t>
      </w:r>
      <w:r>
        <w:rPr>
          <w:rFonts w:hint="eastAsia" w:eastAsia="仿宋_GB2312" w:cs="仿宋_GB2312"/>
          <w:kern w:val="0"/>
          <w:sz w:val="32"/>
          <w:szCs w:val="32"/>
        </w:rPr>
        <w:t>蔬菜产业是色达新兴发展产业之一。根据中央和省委关于乡村振兴的决策部署，围绕产业生产关键技术示范推广，增强乡村振兴内生动力。项目资金来源为中央“三区”科技人才支持计划专项资金2万元。</w:t>
      </w:r>
    </w:p>
    <w:p w14:paraId="05915F35">
      <w:pPr>
        <w:spacing w:line="578" w:lineRule="exact"/>
        <w:ind w:firstLine="643" w:firstLineChars="200"/>
        <w:rPr>
          <w:rFonts w:eastAsia="仿宋_GB2312" w:cs="仿宋_GB2312"/>
          <w:b/>
          <w:kern w:val="0"/>
          <w:sz w:val="32"/>
          <w:szCs w:val="32"/>
        </w:rPr>
      </w:pPr>
      <w:r>
        <w:rPr>
          <w:rFonts w:hint="eastAsia" w:eastAsia="仿宋_GB2312" w:cs="仿宋_GB2312"/>
          <w:b/>
          <w:kern w:val="0"/>
          <w:sz w:val="32"/>
          <w:szCs w:val="32"/>
        </w:rPr>
        <w:t>3.</w:t>
      </w:r>
      <w:r>
        <w:rPr>
          <w:rFonts w:eastAsia="仿宋_GB2312" w:cs="仿宋_GB2312"/>
          <w:b/>
          <w:kern w:val="0"/>
          <w:sz w:val="32"/>
          <w:szCs w:val="32"/>
        </w:rPr>
        <w:t>资金管理办法制定情况，资金支持具体项目的条件、范围与支持方式概况。</w:t>
      </w:r>
      <w:r>
        <w:rPr>
          <w:rFonts w:hint="eastAsia" w:eastAsia="仿宋_GB2312" w:cs="仿宋_GB2312"/>
          <w:kern w:val="0"/>
          <w:sz w:val="32"/>
          <w:szCs w:val="32"/>
        </w:rPr>
        <w:t>严格按照四川省科技计划项目管理办法及相应的经费管理规定等相关法规开展相关研究和经费管理，单位制定了《全院非政府采购类项目的采购管理暂行办法》《攀枝花市农林科学研究固定资产暂行管理办法》《攀枝花市农林科学研究院差旅费管理办法》《攀枝花市农林科学研究院临时用工管理办法》。确保项目资金的使用安全、规范、有效，资金支付范围、支付标准、支付进度、支付依据等合规合法</w:t>
      </w:r>
      <w:r>
        <w:rPr>
          <w:rFonts w:eastAsia="仿宋_GB2312" w:cs="仿宋_GB2312"/>
          <w:kern w:val="0"/>
          <w:sz w:val="32"/>
          <w:szCs w:val="32"/>
        </w:rPr>
        <w:t>。</w:t>
      </w:r>
    </w:p>
    <w:p w14:paraId="2194F56C">
      <w:pPr>
        <w:spacing w:line="578" w:lineRule="exact"/>
        <w:ind w:firstLine="643" w:firstLineChars="200"/>
        <w:rPr>
          <w:rFonts w:eastAsia="仿宋_GB2312" w:cs="仿宋_GB2312"/>
          <w:b/>
          <w:kern w:val="0"/>
          <w:sz w:val="32"/>
          <w:szCs w:val="32"/>
        </w:rPr>
      </w:pPr>
      <w:r>
        <w:rPr>
          <w:rFonts w:hint="eastAsia" w:eastAsia="仿宋_GB2312" w:cs="仿宋_GB2312"/>
          <w:b/>
          <w:kern w:val="0"/>
          <w:sz w:val="32"/>
          <w:szCs w:val="32"/>
        </w:rPr>
        <w:t>4.</w:t>
      </w:r>
      <w:r>
        <w:rPr>
          <w:rFonts w:eastAsia="仿宋_GB2312" w:cs="仿宋_GB2312"/>
          <w:b/>
          <w:kern w:val="0"/>
          <w:sz w:val="32"/>
          <w:szCs w:val="32"/>
        </w:rPr>
        <w:t>资金分配的原则及考虑因素。</w:t>
      </w:r>
      <w:r>
        <w:rPr>
          <w:rFonts w:hint="eastAsia" w:eastAsia="仿宋_GB2312" w:cs="仿宋_GB2312"/>
          <w:kern w:val="0"/>
          <w:sz w:val="32"/>
          <w:szCs w:val="32"/>
        </w:rPr>
        <w:t>本项目资金差旅费1.5万元，主要考虑路途远，需要租车前往。材料费0.2万元，主要是购买蔬菜种子。人身保险0.1万元，色达是高海拔地区，高原反应强烈。培训资料费0.2万元，提高种植水平所需技术资料。</w:t>
      </w:r>
    </w:p>
    <w:p w14:paraId="6AD426EE">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3CA06AB5">
      <w:pPr>
        <w:spacing w:line="578" w:lineRule="exact"/>
        <w:ind w:firstLine="640"/>
        <w:rPr>
          <w:rFonts w:eastAsia="仿宋_GB2312" w:cs="仿宋_GB2312"/>
          <w:b/>
          <w:kern w:val="0"/>
          <w:sz w:val="32"/>
          <w:szCs w:val="32"/>
        </w:rPr>
      </w:pPr>
      <w:r>
        <w:rPr>
          <w:rFonts w:eastAsia="仿宋_GB2312" w:cs="仿宋_GB2312"/>
          <w:b/>
          <w:kern w:val="0"/>
          <w:sz w:val="32"/>
          <w:szCs w:val="32"/>
        </w:rPr>
        <w:t>1. 项目主要内容。</w:t>
      </w:r>
      <w:r>
        <w:rPr>
          <w:rFonts w:hint="eastAsia" w:eastAsia="仿宋_GB2312" w:cs="仿宋_GB2312"/>
          <w:kern w:val="0"/>
          <w:sz w:val="32"/>
          <w:szCs w:val="32"/>
        </w:rPr>
        <w:t>蔬菜新品种新技术示范，技术咨询服务。</w:t>
      </w:r>
    </w:p>
    <w:p w14:paraId="02C58D1E">
      <w:pPr>
        <w:spacing w:line="578" w:lineRule="exact"/>
        <w:ind w:firstLine="64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项目应实现的具体绩效目标，包括目标的量化、细化情况以及项目实施进度计划等。</w:t>
      </w:r>
      <w:r>
        <w:rPr>
          <w:rFonts w:eastAsia="仿宋_GB2312" w:cs="仿宋_GB2312"/>
          <w:kern w:val="0"/>
          <w:sz w:val="32"/>
          <w:szCs w:val="32"/>
        </w:rPr>
        <w:t>示范蔬菜新品种2个以上，新技术1项，培培养本土人员2人，服务当地农业企业2家。</w:t>
      </w:r>
    </w:p>
    <w:p w14:paraId="443E8152">
      <w:pPr>
        <w:spacing w:line="578" w:lineRule="exact"/>
        <w:ind w:firstLine="643" w:firstLineChars="200"/>
        <w:rPr>
          <w:rFonts w:eastAsia="仿宋_GB2312" w:cs="仿宋_GB2312"/>
          <w:b/>
          <w:kern w:val="0"/>
          <w:sz w:val="32"/>
          <w:szCs w:val="32"/>
        </w:rPr>
      </w:pPr>
      <w:r>
        <w:rPr>
          <w:rFonts w:hint="eastAsia" w:eastAsia="仿宋_GB2312" w:cs="仿宋_GB2312"/>
          <w:b/>
          <w:kern w:val="0"/>
          <w:sz w:val="32"/>
          <w:szCs w:val="32"/>
        </w:rPr>
        <w:t>3.</w:t>
      </w:r>
      <w:r>
        <w:rPr>
          <w:rFonts w:eastAsia="仿宋_GB2312" w:cs="仿宋_GB2312"/>
          <w:b/>
          <w:kern w:val="0"/>
          <w:sz w:val="32"/>
          <w:szCs w:val="32"/>
        </w:rPr>
        <w:t>分析评价申报内容是否与实际相符，申报目标是否合理可行。</w:t>
      </w:r>
      <w:r>
        <w:rPr>
          <w:rFonts w:hint="eastAsia" w:eastAsia="仿宋_GB2312" w:cs="仿宋_GB2312"/>
          <w:kern w:val="0"/>
          <w:sz w:val="32"/>
          <w:szCs w:val="32"/>
        </w:rPr>
        <w:t>项目申报内容与色达蔬菜产业发展</w:t>
      </w:r>
      <w:r>
        <w:rPr>
          <w:rFonts w:eastAsia="仿宋_GB2312" w:cs="仿宋_GB2312"/>
          <w:kern w:val="0"/>
          <w:sz w:val="32"/>
          <w:szCs w:val="32"/>
        </w:rPr>
        <w:t>实际相符</w:t>
      </w:r>
      <w:r>
        <w:rPr>
          <w:rFonts w:hint="eastAsia" w:eastAsia="仿宋_GB2312" w:cs="仿宋_GB2312"/>
          <w:kern w:val="0"/>
          <w:sz w:val="32"/>
          <w:szCs w:val="32"/>
        </w:rPr>
        <w:t>，色达县以畜牧业为主，近年来随着文旅产业的发展，高原蔬菜产业发展成为当地乡村振兴的产业之一，制约蔬菜产业发展的新品种新技术急需解决，培育技术骨干、龙头企业带动产业发展成为目前急需解决的问题，因此项目</w:t>
      </w:r>
      <w:r>
        <w:rPr>
          <w:rFonts w:eastAsia="仿宋_GB2312" w:cs="仿宋_GB2312"/>
          <w:kern w:val="0"/>
          <w:sz w:val="32"/>
          <w:szCs w:val="32"/>
        </w:rPr>
        <w:t>申报目标合理可行。</w:t>
      </w:r>
    </w:p>
    <w:p w14:paraId="0488FD4A">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30533DDA">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项目绩效自评采用的组织实施步骤及方法：根据项目情况和评价重点，采用案卷研究法、单位自评法等多种方法。</w:t>
      </w:r>
    </w:p>
    <w:p w14:paraId="5E741F39">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0823F694">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183CE8C5">
      <w:pPr>
        <w:spacing w:line="578" w:lineRule="exact"/>
        <w:ind w:firstLine="640"/>
        <w:rPr>
          <w:rFonts w:eastAsia="仿宋_GB2312" w:cs="仿宋_GB2312"/>
          <w:kern w:val="0"/>
          <w:sz w:val="32"/>
          <w:szCs w:val="32"/>
        </w:rPr>
      </w:pPr>
      <w:r>
        <w:rPr>
          <w:rFonts w:eastAsia="仿宋_GB2312" w:cs="仿宋_GB2312"/>
          <w:kern w:val="0"/>
          <w:sz w:val="32"/>
          <w:szCs w:val="32"/>
        </w:rPr>
        <w:t>项目资金申报、批复</w:t>
      </w:r>
      <w:r>
        <w:rPr>
          <w:rFonts w:hint="eastAsia" w:eastAsia="仿宋_GB2312" w:cs="仿宋_GB2312"/>
          <w:kern w:val="0"/>
          <w:sz w:val="32"/>
          <w:szCs w:val="32"/>
        </w:rPr>
        <w:t>资金2万元，没有</w:t>
      </w:r>
      <w:r>
        <w:rPr>
          <w:rFonts w:eastAsia="仿宋_GB2312" w:cs="仿宋_GB2312"/>
          <w:kern w:val="0"/>
          <w:sz w:val="32"/>
          <w:szCs w:val="32"/>
        </w:rPr>
        <w:t>预算调整情况。</w:t>
      </w:r>
      <w:r>
        <w:rPr>
          <w:rFonts w:hint="eastAsia" w:eastAsia="仿宋_GB2312" w:cs="仿宋_GB2312"/>
          <w:kern w:val="0"/>
          <w:sz w:val="32"/>
          <w:szCs w:val="32"/>
        </w:rPr>
        <w:t>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项目经费手续完整、程序合规。</w:t>
      </w:r>
    </w:p>
    <w:p w14:paraId="5D55D793">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60EF2E6A">
      <w:pPr>
        <w:spacing w:line="578" w:lineRule="exact"/>
        <w:ind w:firstLine="640"/>
        <w:rPr>
          <w:rFonts w:eastAsia="仿宋_GB2312" w:cs="仿宋_GB2312"/>
          <w:kern w:val="0"/>
          <w:sz w:val="32"/>
          <w:szCs w:val="32"/>
        </w:rPr>
      </w:pPr>
      <w:r>
        <w:rPr>
          <w:rFonts w:hint="eastAsia" w:eastAsia="仿宋_GB2312" w:cs="仿宋_GB2312"/>
          <w:b/>
          <w:kern w:val="0"/>
          <w:sz w:val="32"/>
          <w:szCs w:val="32"/>
        </w:rPr>
        <w:t>1．资金计划。</w:t>
      </w:r>
    </w:p>
    <w:p w14:paraId="51ABEA29">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本项目总预算2万元，主要解决专家到色达的差旅、培训、材料费、人身保险等费用。</w:t>
      </w:r>
    </w:p>
    <w:p w14:paraId="296A307D">
      <w:pPr>
        <w:pStyle w:val="30"/>
        <w:numPr>
          <w:ilvl w:val="0"/>
          <w:numId w:val="3"/>
        </w:numPr>
        <w:spacing w:line="578" w:lineRule="exact"/>
        <w:ind w:firstLineChars="0"/>
        <w:rPr>
          <w:rFonts w:eastAsia="仿宋_GB2312" w:cs="仿宋_GB2312"/>
          <w:kern w:val="0"/>
          <w:sz w:val="32"/>
          <w:szCs w:val="32"/>
        </w:rPr>
      </w:pPr>
      <w:r>
        <w:rPr>
          <w:rFonts w:hint="eastAsia" w:eastAsia="仿宋_GB2312" w:cs="仿宋_GB2312"/>
          <w:b/>
          <w:kern w:val="0"/>
          <w:sz w:val="32"/>
          <w:szCs w:val="32"/>
        </w:rPr>
        <w:t>资金到位及使用。</w:t>
      </w:r>
    </w:p>
    <w:p w14:paraId="30BE4222">
      <w:pPr>
        <w:spacing w:line="578" w:lineRule="exact"/>
        <w:ind w:firstLine="640" w:firstLineChars="200"/>
        <w:rPr>
          <w:rFonts w:eastAsia="仿宋_GB2312" w:cs="仿宋_GB2312"/>
          <w:kern w:val="0"/>
          <w:sz w:val="32"/>
          <w:szCs w:val="32"/>
        </w:rPr>
      </w:pPr>
      <w:r>
        <w:rPr>
          <w:rFonts w:hint="eastAsia" w:eastAsia="仿宋_GB2312" w:cs="仿宋_GB2312"/>
          <w:kern w:val="0"/>
          <w:sz w:val="32"/>
          <w:szCs w:val="32"/>
        </w:rPr>
        <w:t>项目资金到位时间为2025年10月。</w:t>
      </w:r>
      <w:r>
        <w:rPr>
          <w:rFonts w:eastAsia="仿宋_GB2312" w:cs="仿宋_GB2312"/>
          <w:kern w:val="0"/>
          <w:sz w:val="32"/>
          <w:szCs w:val="32"/>
        </w:rPr>
        <w:t>因本人还承担了国家大宗蔬菜攀枝花综合试验站工作，试验站工作中包含了到色达开展技术服务的内容，因此本项目的材料费、差旅费（到成都参加色达帮扶工作总结及部署会）等在先期到帐的攀枝花综合试验站项目中开支。</w:t>
      </w:r>
    </w:p>
    <w:p w14:paraId="3DA172AF">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05EB7D57">
      <w:pPr>
        <w:spacing w:line="578" w:lineRule="exact"/>
        <w:ind w:firstLine="640"/>
        <w:rPr>
          <w:rFonts w:eastAsia="仿宋_GB2312" w:cs="仿宋_GB2312"/>
          <w:kern w:val="0"/>
          <w:sz w:val="32"/>
          <w:szCs w:val="32"/>
        </w:rPr>
      </w:pPr>
      <w:r>
        <w:rPr>
          <w:rFonts w:eastAsia="仿宋_GB2312" w:cs="仿宋_GB2312"/>
          <w:kern w:val="0"/>
          <w:sz w:val="32"/>
          <w:szCs w:val="32"/>
        </w:rPr>
        <w:t>单位</w:t>
      </w:r>
      <w:r>
        <w:rPr>
          <w:rFonts w:hint="eastAsia" w:eastAsia="仿宋_GB2312" w:cs="仿宋_GB2312"/>
          <w:kern w:val="0"/>
          <w:sz w:val="32"/>
          <w:szCs w:val="32"/>
        </w:rPr>
        <w:t>项目资金严格按照省、市科技资金的使用要求进行开支，每一笔开支均实行三级监管（项目组—财务—分管副院长），攀枝花市农林院</w:t>
      </w:r>
      <w:r>
        <w:rPr>
          <w:rFonts w:eastAsia="仿宋_GB2312" w:cs="仿宋_GB2312"/>
          <w:kern w:val="0"/>
          <w:sz w:val="32"/>
          <w:szCs w:val="32"/>
        </w:rPr>
        <w:t>制定了</w:t>
      </w:r>
      <w:r>
        <w:rPr>
          <w:rFonts w:hint="eastAsia" w:eastAsia="仿宋_GB2312" w:cs="仿宋_GB2312"/>
          <w:kern w:val="0"/>
          <w:sz w:val="32"/>
          <w:szCs w:val="32"/>
        </w:rPr>
        <w:t>《全院非政府采购类项目的采购管理暂行办法》（攀农林[2021]26号文）</w:t>
      </w:r>
      <w:r>
        <w:rPr>
          <w:rFonts w:eastAsia="仿宋_GB2312" w:cs="仿宋_GB2312"/>
          <w:kern w:val="0"/>
          <w:sz w:val="32"/>
          <w:szCs w:val="32"/>
        </w:rPr>
        <w:t>，保障项目资金使用合规。</w:t>
      </w:r>
    </w:p>
    <w:p w14:paraId="44F132F3">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3ADC0997">
      <w:pPr>
        <w:numPr>
          <w:ilvl w:val="0"/>
          <w:numId w:val="5"/>
        </w:numPr>
        <w:spacing w:line="578" w:lineRule="exact"/>
        <w:rPr>
          <w:rFonts w:eastAsia="仿宋_GB2312" w:cs="仿宋_GB2312"/>
          <w:b/>
          <w:kern w:val="0"/>
          <w:sz w:val="32"/>
          <w:szCs w:val="32"/>
        </w:rPr>
      </w:pPr>
      <w:r>
        <w:rPr>
          <w:rFonts w:eastAsia="仿宋_GB2312" w:cs="仿宋_GB2312"/>
          <w:b/>
          <w:kern w:val="0"/>
          <w:sz w:val="32"/>
          <w:szCs w:val="32"/>
        </w:rPr>
        <w:t>项目组织架构及实施流程。</w:t>
      </w:r>
    </w:p>
    <w:p w14:paraId="5C111A0D">
      <w:pPr>
        <w:spacing w:line="578" w:lineRule="exact"/>
        <w:ind w:firstLine="640" w:firstLineChars="200"/>
        <w:rPr>
          <w:rFonts w:eastAsia="仿宋_GB2312" w:cs="仿宋_GB2312"/>
          <w:kern w:val="0"/>
          <w:sz w:val="32"/>
          <w:szCs w:val="32"/>
        </w:rPr>
      </w:pPr>
      <w:r>
        <w:rPr>
          <w:rFonts w:hint="eastAsia" w:eastAsia="仿宋_GB2312" w:cs="仿宋_GB2312"/>
          <w:kern w:val="0"/>
          <w:sz w:val="32"/>
          <w:szCs w:val="32"/>
        </w:rPr>
        <w:t>1</w:t>
      </w:r>
      <w:r>
        <w:rPr>
          <w:rFonts w:eastAsia="仿宋_GB2312" w:cs="仿宋_GB2312"/>
          <w:kern w:val="0"/>
          <w:sz w:val="32"/>
          <w:szCs w:val="32"/>
        </w:rPr>
        <w:t>.</w:t>
      </w:r>
      <w:r>
        <w:rPr>
          <w:rFonts w:hint="eastAsia" w:eastAsia="仿宋_GB2312" w:cs="仿宋_GB2312"/>
          <w:kern w:val="0"/>
          <w:sz w:val="32"/>
          <w:szCs w:val="32"/>
        </w:rPr>
        <w:t>项目组织架构</w:t>
      </w:r>
    </w:p>
    <w:p w14:paraId="7E0C2E10">
      <w:pPr>
        <w:pStyle w:val="30"/>
        <w:spacing w:line="578" w:lineRule="exact"/>
        <w:ind w:left="1360" w:firstLine="0" w:firstLineChars="0"/>
        <w:rPr>
          <w:rFonts w:eastAsia="仿宋_GB2312" w:cs="仿宋_GB2312"/>
          <w:kern w:val="0"/>
          <w:sz w:val="32"/>
          <w:szCs w:val="32"/>
        </w:rPr>
      </w:pPr>
      <w:r>
        <w:rPr>
          <w:rFonts w:eastAsia="仿宋_GB2312" w:cs="仿宋_GB2312"/>
          <w:kern w:val="0"/>
          <w:sz w:val="32"/>
          <w:szCs w:val="32"/>
        </w:rPr>
        <w:t>评价组人员构成</w:t>
      </w:r>
      <w:r>
        <w:rPr>
          <w:rFonts w:hint="eastAsia" w:eastAsia="仿宋_GB2312" w:cs="仿宋_GB2312"/>
          <w:kern w:val="0"/>
          <w:sz w:val="32"/>
          <w:szCs w:val="32"/>
        </w:rPr>
        <w:t>和</w:t>
      </w:r>
      <w:r>
        <w:rPr>
          <w:rFonts w:eastAsia="仿宋_GB2312" w:cs="仿宋_GB2312"/>
          <w:kern w:val="0"/>
          <w:sz w:val="32"/>
          <w:szCs w:val="32"/>
        </w:rPr>
        <w:t>职责分工见下表</w:t>
      </w:r>
      <w:r>
        <w:rPr>
          <w:rFonts w:hint="eastAsia" w:eastAsia="仿宋_GB2312" w:cs="仿宋_GB2312"/>
          <w:kern w:val="0"/>
          <w:sz w:val="32"/>
          <w:szCs w:val="32"/>
        </w:rPr>
        <w:t>。</w:t>
      </w:r>
    </w:p>
    <w:tbl>
      <w:tblPr>
        <w:tblStyle w:val="18"/>
        <w:tblW w:w="813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3822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715" w:type="dxa"/>
            <w:tcBorders>
              <w:tl2br w:val="nil"/>
              <w:tr2bl w:val="nil"/>
            </w:tcBorders>
            <w:vAlign w:val="center"/>
          </w:tcPr>
          <w:p w14:paraId="1D854517">
            <w:pPr>
              <w:jc w:val="center"/>
              <w:rPr>
                <w:sz w:val="24"/>
              </w:rPr>
            </w:pPr>
            <w:r>
              <w:rPr>
                <w:sz w:val="24"/>
              </w:rPr>
              <w:t>姓  名</w:t>
            </w:r>
          </w:p>
        </w:tc>
        <w:tc>
          <w:tcPr>
            <w:tcW w:w="6416" w:type="dxa"/>
            <w:tcBorders>
              <w:tl2br w:val="nil"/>
              <w:tr2bl w:val="nil"/>
            </w:tcBorders>
            <w:vAlign w:val="center"/>
          </w:tcPr>
          <w:p w14:paraId="0D88B905">
            <w:pPr>
              <w:jc w:val="center"/>
              <w:rPr>
                <w:sz w:val="24"/>
              </w:rPr>
            </w:pPr>
            <w:r>
              <w:rPr>
                <w:sz w:val="24"/>
              </w:rPr>
              <w:t>职责分工</w:t>
            </w:r>
          </w:p>
        </w:tc>
      </w:tr>
      <w:tr w14:paraId="6789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34CCF80B">
            <w:pPr>
              <w:jc w:val="center"/>
              <w:rPr>
                <w:sz w:val="24"/>
              </w:rPr>
            </w:pPr>
            <w:r>
              <w:rPr>
                <w:sz w:val="24"/>
              </w:rPr>
              <w:t>杨晓峰</w:t>
            </w:r>
          </w:p>
        </w:tc>
        <w:tc>
          <w:tcPr>
            <w:tcW w:w="6416" w:type="dxa"/>
            <w:tcBorders>
              <w:tl2br w:val="nil"/>
              <w:tr2bl w:val="nil"/>
            </w:tcBorders>
            <w:vAlign w:val="center"/>
          </w:tcPr>
          <w:p w14:paraId="1C173C60">
            <w:pPr>
              <w:jc w:val="center"/>
              <w:rPr>
                <w:sz w:val="24"/>
              </w:rPr>
            </w:pPr>
            <w:r>
              <w:rPr>
                <w:sz w:val="24"/>
              </w:rPr>
              <w:t>组长，负责蔬菜团队评价的全面工作。</w:t>
            </w:r>
          </w:p>
        </w:tc>
      </w:tr>
      <w:tr w14:paraId="65E8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67BD12F9">
            <w:pPr>
              <w:jc w:val="center"/>
              <w:rPr>
                <w:sz w:val="24"/>
              </w:rPr>
            </w:pPr>
            <w:r>
              <w:rPr>
                <w:rFonts w:hint="eastAsia"/>
                <w:sz w:val="24"/>
              </w:rPr>
              <w:t>杜宣延</w:t>
            </w:r>
          </w:p>
        </w:tc>
        <w:tc>
          <w:tcPr>
            <w:tcW w:w="6416" w:type="dxa"/>
            <w:tcBorders>
              <w:tl2br w:val="nil"/>
              <w:tr2bl w:val="nil"/>
            </w:tcBorders>
            <w:vAlign w:val="center"/>
          </w:tcPr>
          <w:p w14:paraId="39F23B7E">
            <w:pPr>
              <w:jc w:val="center"/>
              <w:rPr>
                <w:sz w:val="24"/>
              </w:rPr>
            </w:pPr>
            <w:r>
              <w:rPr>
                <w:sz w:val="24"/>
              </w:rPr>
              <w:t>副组长，团队评价材料收集、整理。</w:t>
            </w:r>
          </w:p>
        </w:tc>
      </w:tr>
      <w:tr w14:paraId="2435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715" w:type="dxa"/>
            <w:tcBorders>
              <w:tl2br w:val="nil"/>
              <w:tr2bl w:val="nil"/>
            </w:tcBorders>
            <w:vAlign w:val="center"/>
          </w:tcPr>
          <w:p w14:paraId="24F189F7">
            <w:pPr>
              <w:jc w:val="center"/>
              <w:rPr>
                <w:sz w:val="24"/>
              </w:rPr>
            </w:pPr>
            <w:r>
              <w:rPr>
                <w:sz w:val="24"/>
              </w:rPr>
              <w:t>黄艳</w:t>
            </w:r>
          </w:p>
        </w:tc>
        <w:tc>
          <w:tcPr>
            <w:tcW w:w="6416" w:type="dxa"/>
            <w:tcBorders>
              <w:tl2br w:val="nil"/>
              <w:tr2bl w:val="nil"/>
            </w:tcBorders>
            <w:vAlign w:val="center"/>
          </w:tcPr>
          <w:p w14:paraId="778BB4E7">
            <w:pPr>
              <w:jc w:val="center"/>
              <w:rPr>
                <w:sz w:val="24"/>
              </w:rPr>
            </w:pPr>
            <w:r>
              <w:rPr>
                <w:sz w:val="24"/>
              </w:rPr>
              <w:t>成员，协助蔬菜团队评价材料收集、整理。</w:t>
            </w:r>
          </w:p>
        </w:tc>
      </w:tr>
    </w:tbl>
    <w:p w14:paraId="111A7A92">
      <w:pPr>
        <w:spacing w:line="578" w:lineRule="exact"/>
        <w:ind w:firstLine="640"/>
        <w:rPr>
          <w:rFonts w:eastAsia="仿宋_GB2312" w:cs="仿宋_GB2312"/>
          <w:kern w:val="0"/>
          <w:sz w:val="32"/>
          <w:szCs w:val="32"/>
        </w:rPr>
      </w:pPr>
      <w:r>
        <w:rPr>
          <w:rFonts w:hint="eastAsia" w:eastAsia="仿宋_GB2312" w:cs="仿宋_GB2312"/>
          <w:kern w:val="0"/>
          <w:sz w:val="32"/>
          <w:szCs w:val="32"/>
        </w:rPr>
        <w:t>2.实施流程</w:t>
      </w:r>
    </w:p>
    <w:p w14:paraId="26FFB317">
      <w:pPr>
        <w:spacing w:line="578" w:lineRule="exact"/>
        <w:ind w:firstLine="640"/>
        <w:rPr>
          <w:rFonts w:eastAsia="仿宋_GB2312" w:cs="仿宋_GB2312"/>
          <w:kern w:val="0"/>
          <w:sz w:val="32"/>
          <w:szCs w:val="32"/>
        </w:rPr>
      </w:pPr>
      <w:r>
        <w:rPr>
          <w:rFonts w:hint="eastAsia" w:eastAsia="仿宋_GB2312" w:cs="仿宋_GB2312"/>
          <w:kern w:val="0"/>
          <w:sz w:val="32"/>
          <w:szCs w:val="32"/>
        </w:rPr>
        <w:t>制定年度目标与工作计划，采用集中式、分组式开展工作。在活动过程中，通过专属微信群进行信息共享与即时沟通，确保工作顺利进行。</w:t>
      </w:r>
    </w:p>
    <w:p w14:paraId="362A4D7C">
      <w:pPr>
        <w:numPr>
          <w:ilvl w:val="0"/>
          <w:numId w:val="5"/>
        </w:numPr>
        <w:spacing w:line="578" w:lineRule="exact"/>
        <w:rPr>
          <w:rFonts w:eastAsia="仿宋_GB2312" w:cs="仿宋_GB2312"/>
          <w:b/>
          <w:kern w:val="0"/>
          <w:sz w:val="32"/>
          <w:szCs w:val="32"/>
        </w:rPr>
      </w:pPr>
      <w:r>
        <w:rPr>
          <w:rFonts w:eastAsia="仿宋_GB2312" w:cs="仿宋_GB2312"/>
          <w:b/>
          <w:kern w:val="0"/>
          <w:sz w:val="32"/>
          <w:szCs w:val="32"/>
        </w:rPr>
        <w:t>项目管理情况。</w:t>
      </w:r>
    </w:p>
    <w:p w14:paraId="73DD5FAC">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承担单位选择技术骨干组成专门的项目组，项目组负责编写项目实施方案，组织项目实施，撰写总结等，项目下达单位对项目制定的实施方案进行审核，并根据项目实施方案对项目实施过程进行监督和检查；院财务室负责对项目经费开支情况进行审核；项目承担单位科技管理科对项目申报、实施等进行全程监督和管理。</w:t>
      </w:r>
    </w:p>
    <w:p w14:paraId="6079481A">
      <w:pPr>
        <w:numPr>
          <w:ilvl w:val="0"/>
          <w:numId w:val="5"/>
        </w:numPr>
        <w:spacing w:line="578" w:lineRule="exact"/>
        <w:rPr>
          <w:rFonts w:eastAsia="仿宋_GB2312" w:cs="仿宋_GB2312"/>
          <w:b/>
          <w:kern w:val="0"/>
          <w:sz w:val="32"/>
          <w:szCs w:val="32"/>
        </w:rPr>
      </w:pPr>
      <w:r>
        <w:rPr>
          <w:rFonts w:eastAsia="仿宋_GB2312" w:cs="仿宋_GB2312"/>
          <w:b/>
          <w:kern w:val="0"/>
          <w:sz w:val="32"/>
          <w:szCs w:val="32"/>
        </w:rPr>
        <w:t>项目监管情况。</w:t>
      </w:r>
    </w:p>
    <w:p w14:paraId="217347EA">
      <w:pPr>
        <w:spacing w:line="578" w:lineRule="exact"/>
        <w:ind w:firstLine="640"/>
        <w:rPr>
          <w:rFonts w:eastAsia="仿宋_GB2312" w:cs="仿宋_GB2312"/>
          <w:kern w:val="0"/>
          <w:sz w:val="32"/>
          <w:szCs w:val="32"/>
        </w:rPr>
      </w:pPr>
      <w:r>
        <w:rPr>
          <w:rFonts w:hint="eastAsia" w:eastAsia="仿宋_GB2312" w:cs="仿宋_GB2312"/>
          <w:kern w:val="0"/>
          <w:sz w:val="32"/>
          <w:szCs w:val="32"/>
        </w:rPr>
        <w:t>主管部门要求团队定期提供工作推进情况，提供相关活动资料和数据。</w:t>
      </w:r>
      <w:r>
        <w:rPr>
          <w:rFonts w:eastAsia="仿宋_GB2312" w:cs="仿宋_GB2312"/>
          <w:kern w:val="0"/>
          <w:sz w:val="32"/>
          <w:szCs w:val="32"/>
        </w:rPr>
        <w:t>项目工作情况见</w:t>
      </w:r>
      <w:r>
        <w:rPr>
          <w:rFonts w:hint="eastAsia" w:eastAsia="仿宋_GB2312" w:cs="仿宋_GB2312"/>
          <w:kern w:val="0"/>
          <w:sz w:val="32"/>
          <w:szCs w:val="32"/>
        </w:rPr>
        <w:t>2025年色达帮扶工作总结</w:t>
      </w:r>
      <w:r>
        <w:rPr>
          <w:rFonts w:eastAsia="仿宋_GB2312" w:cs="仿宋_GB2312"/>
          <w:kern w:val="0"/>
          <w:sz w:val="32"/>
          <w:szCs w:val="32"/>
        </w:rPr>
        <w:t>（附后）。</w:t>
      </w:r>
    </w:p>
    <w:p w14:paraId="64389CE4">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四、项目绩效情况</w:t>
      </w:r>
      <w:r>
        <w:rPr>
          <w:rFonts w:ascii="黑体" w:hAnsi="黑体" w:eastAsia="黑体"/>
          <w:color w:val="000000"/>
          <w:sz w:val="32"/>
          <w:szCs w:val="32"/>
        </w:rPr>
        <w:tab/>
      </w:r>
    </w:p>
    <w:p w14:paraId="65AA518E">
      <w:pPr>
        <w:spacing w:line="578" w:lineRule="exact"/>
        <w:ind w:firstLine="640"/>
        <w:rPr>
          <w:rFonts w:eastAsia="仿宋_GB2312" w:cs="仿宋_GB2312"/>
          <w:b/>
          <w:bCs/>
          <w:kern w:val="0"/>
          <w:sz w:val="32"/>
          <w:szCs w:val="32"/>
        </w:rPr>
      </w:pPr>
      <w:r>
        <w:rPr>
          <w:rFonts w:eastAsia="仿宋_GB2312" w:cs="仿宋_GB2312"/>
          <w:b/>
          <w:bCs/>
          <w:kern w:val="0"/>
          <w:sz w:val="32"/>
          <w:szCs w:val="32"/>
        </w:rPr>
        <w:t>（一）项目完成情况</w:t>
      </w:r>
    </w:p>
    <w:p w14:paraId="2FD02BCD">
      <w:pPr>
        <w:spacing w:line="578" w:lineRule="exact"/>
        <w:ind w:firstLine="640"/>
        <w:rPr>
          <w:rFonts w:eastAsia="仿宋_GB2312" w:cs="仿宋_GB2312"/>
          <w:kern w:val="0"/>
          <w:sz w:val="32"/>
          <w:szCs w:val="32"/>
        </w:rPr>
      </w:pPr>
      <w:r>
        <w:rPr>
          <w:rFonts w:eastAsia="仿宋_GB2312" w:cs="仿宋_GB2312"/>
          <w:kern w:val="0"/>
          <w:sz w:val="32"/>
          <w:szCs w:val="32"/>
        </w:rPr>
        <w:t>本年度通过视频会议的方式</w:t>
      </w:r>
      <w:r>
        <w:rPr>
          <w:rFonts w:hint="eastAsia" w:eastAsia="仿宋_GB2312" w:cs="仿宋_GB2312"/>
          <w:kern w:val="0"/>
          <w:sz w:val="32"/>
          <w:szCs w:val="32"/>
        </w:rPr>
        <w:t>参与2025年衔接推进乡村振兴项目-色达县创新高原蔬菜培育种植及深加工示范项目的讨论申报；为色达县编制现代农业示范园区建设项目-蔬菜种植大棚区种植实施方案</w:t>
      </w:r>
      <w:r>
        <w:rPr>
          <w:rFonts w:eastAsia="仿宋_GB2312" w:cs="仿宋_GB2312"/>
          <w:kern w:val="0"/>
          <w:sz w:val="32"/>
          <w:szCs w:val="32"/>
        </w:rPr>
        <w:t>及为服务企业提供技术指导</w:t>
      </w:r>
      <w:r>
        <w:rPr>
          <w:rFonts w:hint="eastAsia" w:eastAsia="仿宋_GB2312" w:cs="仿宋_GB2312"/>
          <w:kern w:val="0"/>
          <w:sz w:val="32"/>
          <w:szCs w:val="32"/>
        </w:rPr>
        <w:t>；为当地种植油菜进行花海打造进行咨询服务。根据当地四川兴茂农业有限公司需求，在攀枝花为该企业培育2个高品质番茄种苗8000株，在企业基地进行6亩的示范，并通过视频进行技术指导。参加国家乡村振兴色达科技特派团2024年度工作总结会议暨 2025 年度工作部署会议”1次；参加关于色达帮扶工作线上会议2次。通过视频对四川兴茂农业有限公司蔬菜基地管理人员进行番茄种植技术指导，培养技术人员2人。与当地企业天珍传奇公司合作，探明了野生蔬菜藁本种子繁殖技术，在该公司基地已成功扩繁野生蔬菜藁本3亩。</w:t>
      </w:r>
    </w:p>
    <w:p w14:paraId="61685FDA">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1978A1A6">
      <w:pPr>
        <w:spacing w:line="578" w:lineRule="exact"/>
        <w:ind w:firstLine="640"/>
        <w:rPr>
          <w:rFonts w:eastAsia="仿宋_GB2312" w:cs="仿宋_GB2312"/>
          <w:kern w:val="0"/>
          <w:sz w:val="32"/>
          <w:szCs w:val="32"/>
        </w:rPr>
      </w:pPr>
      <w:r>
        <w:rPr>
          <w:rFonts w:hint="eastAsia" w:eastAsia="仿宋_GB2312" w:cs="仿宋_GB2312"/>
          <w:kern w:val="0"/>
          <w:sz w:val="32"/>
          <w:szCs w:val="32"/>
        </w:rPr>
        <w:t>通过为企业提供2个高品质番茄种苗的设施水肥一体化技术示范，推动了新品种新技术应用。为当地种植油菜花海打造进行咨询服务，推动文旅产业发展。通过参与2025年衔接推进乡村振兴项目-色达县创新高原蔬菜培育种植及深加工示范项目，培养了本地人才。通过项目的开展，推动当地社会经济发展。</w:t>
      </w:r>
    </w:p>
    <w:p w14:paraId="15E516CF">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0A58B27B">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501290E8">
      <w:pPr>
        <w:spacing w:line="578" w:lineRule="exact"/>
        <w:ind w:firstLine="640"/>
        <w:rPr>
          <w:rFonts w:eastAsia="仿宋_GB2312" w:cs="仿宋_GB2312"/>
          <w:kern w:val="0"/>
          <w:sz w:val="32"/>
          <w:szCs w:val="32"/>
        </w:rPr>
      </w:pPr>
      <w:r>
        <w:rPr>
          <w:rFonts w:hint="eastAsia" w:eastAsia="仿宋_GB2312" w:cs="仿宋_GB2312"/>
          <w:kern w:val="0"/>
          <w:sz w:val="32"/>
          <w:szCs w:val="32"/>
        </w:rPr>
        <w:t>自评</w:t>
      </w:r>
      <w:r>
        <w:rPr>
          <w:rFonts w:eastAsia="仿宋_GB2312" w:cs="仿宋_GB2312"/>
          <w:kern w:val="0"/>
          <w:sz w:val="32"/>
          <w:szCs w:val="32"/>
        </w:rPr>
        <w:t>94.72</w:t>
      </w:r>
      <w:r>
        <w:rPr>
          <w:rFonts w:hint="eastAsia" w:eastAsia="仿宋_GB2312" w:cs="仿宋_GB2312"/>
          <w:kern w:val="0"/>
          <w:sz w:val="32"/>
          <w:szCs w:val="32"/>
        </w:rPr>
        <w:t>分。在年度经费预算执行上滞后，绩效指标品种、技术、培训人才培养、可持续发展、生态效益、农户满意度等完成好，整体绩效评价为较好</w:t>
      </w:r>
      <w:r>
        <w:rPr>
          <w:rFonts w:eastAsia="仿宋_GB2312" w:cs="仿宋_GB2312"/>
          <w:kern w:val="0"/>
          <w:sz w:val="32"/>
          <w:szCs w:val="32"/>
        </w:rPr>
        <w:t>。</w:t>
      </w:r>
    </w:p>
    <w:p w14:paraId="0335CBBB">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086BB873">
      <w:pPr>
        <w:spacing w:line="578" w:lineRule="exact"/>
        <w:ind w:firstLine="640"/>
        <w:rPr>
          <w:rFonts w:eastAsia="仿宋_GB2312" w:cs="仿宋_GB2312"/>
          <w:kern w:val="0"/>
          <w:sz w:val="32"/>
          <w:szCs w:val="32"/>
        </w:rPr>
      </w:pPr>
      <w:r>
        <w:rPr>
          <w:rFonts w:eastAsia="仿宋_GB2312" w:cs="仿宋_GB2312"/>
          <w:kern w:val="0"/>
          <w:sz w:val="32"/>
          <w:szCs w:val="32"/>
        </w:rPr>
        <w:t>本人承担的其它项目中期评估、十四五总结、财务审计、单位第二轮巡查等工作，大部分工作由实地改为线上指导，因此预算的差旅费</w:t>
      </w:r>
      <w:r>
        <w:rPr>
          <w:rFonts w:hint="eastAsia" w:eastAsia="仿宋_GB2312" w:cs="仿宋_GB2312"/>
          <w:kern w:val="0"/>
          <w:sz w:val="32"/>
          <w:szCs w:val="32"/>
        </w:rPr>
        <w:t>开支少</w:t>
      </w:r>
      <w:r>
        <w:rPr>
          <w:rFonts w:eastAsia="仿宋_GB2312" w:cs="仿宋_GB2312"/>
          <w:kern w:val="0"/>
          <w:sz w:val="32"/>
          <w:szCs w:val="32"/>
        </w:rPr>
        <w:t>。</w:t>
      </w:r>
    </w:p>
    <w:p w14:paraId="07FBEEA9">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289AE950">
      <w:pPr>
        <w:spacing w:line="578" w:lineRule="exact"/>
        <w:ind w:firstLine="640"/>
        <w:rPr>
          <w:rFonts w:eastAsia="仿宋_GB2312" w:cs="仿宋_GB2312"/>
          <w:kern w:val="0"/>
          <w:sz w:val="32"/>
          <w:szCs w:val="32"/>
        </w:rPr>
      </w:pPr>
      <w:r>
        <w:rPr>
          <w:rFonts w:hint="eastAsia" w:eastAsia="仿宋_GB2312" w:cs="仿宋_GB2312"/>
          <w:kern w:val="0"/>
          <w:sz w:val="32"/>
          <w:szCs w:val="32"/>
        </w:rPr>
        <w:t>无</w:t>
      </w:r>
      <w:r>
        <w:rPr>
          <w:rFonts w:eastAsia="仿宋_GB2312" w:cs="仿宋_GB2312"/>
          <w:kern w:val="0"/>
          <w:sz w:val="32"/>
          <w:szCs w:val="32"/>
        </w:rPr>
        <w:t>。</w:t>
      </w:r>
    </w:p>
    <w:p w14:paraId="13F704E1">
      <w:pPr>
        <w:spacing w:line="578" w:lineRule="exact"/>
        <w:ind w:firstLine="640"/>
        <w:jc w:val="center"/>
        <w:rPr>
          <w:rFonts w:ascii="方正小标宋简体" w:eastAsia="方正小标宋简体" w:cs="仿宋_GB2312"/>
          <w:kern w:val="0"/>
          <w:sz w:val="40"/>
          <w:szCs w:val="40"/>
        </w:rPr>
      </w:pPr>
    </w:p>
    <w:p w14:paraId="6BA3CDD1">
      <w:pPr>
        <w:spacing w:line="578" w:lineRule="exact"/>
        <w:ind w:firstLine="640"/>
        <w:jc w:val="center"/>
        <w:rPr>
          <w:rFonts w:ascii="方正小标宋简体" w:eastAsia="方正小标宋简体" w:cs="仿宋_GB2312"/>
          <w:kern w:val="0"/>
          <w:sz w:val="40"/>
          <w:szCs w:val="40"/>
        </w:rPr>
      </w:pPr>
    </w:p>
    <w:p w14:paraId="2E340D80">
      <w:pPr>
        <w:spacing w:line="578" w:lineRule="exact"/>
        <w:ind w:firstLine="640"/>
        <w:jc w:val="center"/>
        <w:rPr>
          <w:rFonts w:ascii="方正小标宋简体" w:eastAsia="方正小标宋简体" w:cs="仿宋_GB2312"/>
          <w:kern w:val="0"/>
          <w:sz w:val="40"/>
          <w:szCs w:val="40"/>
        </w:rPr>
      </w:pPr>
    </w:p>
    <w:p w14:paraId="60E21DF3">
      <w:pPr>
        <w:spacing w:line="578" w:lineRule="exact"/>
        <w:ind w:firstLine="640"/>
        <w:jc w:val="center"/>
        <w:rPr>
          <w:rFonts w:ascii="方正小标宋简体" w:eastAsia="方正小标宋简体" w:cs="仿宋_GB2312"/>
          <w:kern w:val="0"/>
          <w:sz w:val="40"/>
          <w:szCs w:val="40"/>
        </w:rPr>
      </w:pPr>
    </w:p>
    <w:p w14:paraId="60440072">
      <w:pPr>
        <w:spacing w:line="578" w:lineRule="exact"/>
        <w:ind w:firstLine="640"/>
        <w:jc w:val="center"/>
        <w:rPr>
          <w:rFonts w:ascii="方正小标宋简体" w:eastAsia="方正小标宋简体" w:cs="仿宋_GB2312"/>
          <w:kern w:val="0"/>
          <w:sz w:val="40"/>
          <w:szCs w:val="40"/>
        </w:rPr>
      </w:pPr>
    </w:p>
    <w:p w14:paraId="2D6D2859">
      <w:pPr>
        <w:spacing w:line="578" w:lineRule="exact"/>
        <w:ind w:firstLine="640"/>
        <w:jc w:val="center"/>
        <w:rPr>
          <w:rFonts w:ascii="方正小标宋简体" w:eastAsia="方正小标宋简体" w:cs="仿宋_GB2312"/>
          <w:kern w:val="0"/>
          <w:sz w:val="40"/>
          <w:szCs w:val="40"/>
        </w:rPr>
      </w:pPr>
    </w:p>
    <w:p w14:paraId="12A48BD3">
      <w:pPr>
        <w:spacing w:line="578" w:lineRule="exact"/>
        <w:ind w:firstLine="640"/>
        <w:jc w:val="center"/>
        <w:rPr>
          <w:rFonts w:ascii="方正小标宋简体" w:eastAsia="方正小标宋简体" w:cs="仿宋_GB2312"/>
          <w:kern w:val="0"/>
          <w:sz w:val="40"/>
          <w:szCs w:val="40"/>
        </w:rPr>
      </w:pPr>
    </w:p>
    <w:p w14:paraId="38D42E3D">
      <w:pPr>
        <w:spacing w:line="578" w:lineRule="exact"/>
        <w:ind w:firstLine="640"/>
        <w:jc w:val="center"/>
        <w:rPr>
          <w:rFonts w:ascii="方正小标宋简体" w:eastAsia="方正小标宋简体" w:cs="仿宋_GB2312"/>
          <w:kern w:val="0"/>
          <w:sz w:val="40"/>
          <w:szCs w:val="40"/>
        </w:rPr>
      </w:pPr>
    </w:p>
    <w:p w14:paraId="35288F79">
      <w:pPr>
        <w:spacing w:line="578" w:lineRule="exact"/>
        <w:ind w:firstLine="640"/>
        <w:jc w:val="center"/>
        <w:rPr>
          <w:rFonts w:ascii="方正小标宋简体" w:eastAsia="方正小标宋简体" w:cs="仿宋_GB2312"/>
          <w:kern w:val="0"/>
          <w:sz w:val="40"/>
          <w:szCs w:val="40"/>
        </w:rPr>
      </w:pPr>
    </w:p>
    <w:p w14:paraId="055A3E27">
      <w:pPr>
        <w:spacing w:line="578" w:lineRule="exact"/>
        <w:ind w:firstLine="640"/>
        <w:jc w:val="center"/>
        <w:rPr>
          <w:rFonts w:ascii="方正小标宋简体" w:eastAsia="方正小标宋简体" w:cs="仿宋_GB2312"/>
          <w:kern w:val="0"/>
          <w:sz w:val="40"/>
          <w:szCs w:val="40"/>
        </w:rPr>
      </w:pPr>
    </w:p>
    <w:p w14:paraId="01A22EB2">
      <w:pPr>
        <w:spacing w:line="578" w:lineRule="exact"/>
        <w:ind w:firstLine="640"/>
        <w:jc w:val="center"/>
        <w:rPr>
          <w:rFonts w:ascii="方正小标宋简体" w:eastAsia="方正小标宋简体" w:cs="仿宋_GB2312"/>
          <w:kern w:val="0"/>
          <w:sz w:val="40"/>
          <w:szCs w:val="40"/>
        </w:rPr>
      </w:pPr>
    </w:p>
    <w:p w14:paraId="57618C8C">
      <w:pPr>
        <w:spacing w:line="578" w:lineRule="exact"/>
        <w:rPr>
          <w:rFonts w:ascii="方正小标宋简体" w:eastAsia="方正小标宋简体" w:cs="仿宋_GB2312"/>
          <w:kern w:val="0"/>
          <w:sz w:val="40"/>
          <w:szCs w:val="40"/>
        </w:rPr>
      </w:pPr>
      <w:r>
        <w:rPr>
          <w:rFonts w:ascii="方正小标宋简体" w:eastAsia="方正小标宋简体" w:cs="仿宋_GB2312"/>
          <w:kern w:val="0"/>
          <w:sz w:val="40"/>
          <w:szCs w:val="40"/>
        </w:rPr>
        <w:br w:type="page"/>
      </w:r>
    </w:p>
    <w:p w14:paraId="28B30973">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专项预算项目支出绩效自评报告范本</w:t>
      </w:r>
    </w:p>
    <w:p w14:paraId="0E12BB3D">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2025年生态功能区转移支付资金项目</w:t>
      </w:r>
    </w:p>
    <w:p w14:paraId="344EFD12">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3EB5D63F">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73209986">
      <w:pPr>
        <w:spacing w:line="578" w:lineRule="exact"/>
        <w:ind w:firstLine="640"/>
        <w:rPr>
          <w:rFonts w:eastAsia="仿宋_GB2312" w:cs="仿宋_GB2312"/>
          <w:b/>
          <w:kern w:val="0"/>
          <w:sz w:val="32"/>
          <w:szCs w:val="32"/>
        </w:rPr>
      </w:pPr>
      <w:r>
        <w:rPr>
          <w:rFonts w:eastAsia="仿宋_GB2312" w:cs="仿宋_GB2312"/>
          <w:b/>
          <w:kern w:val="0"/>
          <w:sz w:val="32"/>
          <w:szCs w:val="32"/>
        </w:rPr>
        <w:t>1．说明项目主管部门在该项目管理中的职能。</w:t>
      </w:r>
    </w:p>
    <w:p w14:paraId="0B33A9E7">
      <w:pPr>
        <w:spacing w:line="578" w:lineRule="exact"/>
        <w:ind w:firstLine="640"/>
        <w:rPr>
          <w:rFonts w:eastAsia="仿宋_GB2312" w:cs="仿宋_GB2312"/>
          <w:b/>
          <w:kern w:val="0"/>
          <w:sz w:val="32"/>
          <w:szCs w:val="32"/>
        </w:rPr>
      </w:pPr>
      <w:r>
        <w:rPr>
          <w:rFonts w:hint="eastAsia" w:eastAsia="仿宋_GB2312" w:cs="仿宋_GB2312"/>
          <w:kern w:val="0"/>
          <w:sz w:val="32"/>
          <w:szCs w:val="32"/>
        </w:rPr>
        <w:t>本项目主管部门为攀枝花市农林科学研究院，主要对项目目标、实施方案提出建议和意见，对项目实施开展监督。</w:t>
      </w:r>
    </w:p>
    <w:p w14:paraId="75D8E428">
      <w:pPr>
        <w:spacing w:line="578" w:lineRule="exact"/>
        <w:ind w:firstLine="640"/>
        <w:rPr>
          <w:rFonts w:eastAsia="仿宋_GB2312" w:cs="仿宋_GB2312"/>
          <w:b/>
          <w:kern w:val="0"/>
          <w:sz w:val="32"/>
          <w:szCs w:val="32"/>
        </w:rPr>
      </w:pPr>
      <w:r>
        <w:rPr>
          <w:rFonts w:eastAsia="仿宋_GB2312" w:cs="仿宋_GB2312"/>
          <w:b/>
          <w:kern w:val="0"/>
          <w:sz w:val="32"/>
          <w:szCs w:val="32"/>
        </w:rPr>
        <w:t>2.项目立项、资金申报的依据。</w:t>
      </w:r>
    </w:p>
    <w:p w14:paraId="692AFBFB">
      <w:pPr>
        <w:spacing w:line="578" w:lineRule="exact"/>
        <w:ind w:firstLine="640"/>
        <w:rPr>
          <w:rFonts w:eastAsia="仿宋_GB2312" w:cs="仿宋_GB2312"/>
          <w:b/>
          <w:kern w:val="0"/>
          <w:sz w:val="32"/>
          <w:szCs w:val="32"/>
        </w:rPr>
      </w:pPr>
      <w:r>
        <w:rPr>
          <w:rFonts w:hint="eastAsia" w:eastAsia="仿宋_GB2312" w:cs="仿宋_GB2312"/>
          <w:kern w:val="0"/>
          <w:sz w:val="32"/>
          <w:szCs w:val="32"/>
        </w:rPr>
        <w:t>项目资金来源渠道为生态功能区转移支付资金，渠道合法合规。项目成果实现林业产业增产增收、恢复种植信心、维持社会稳定具有重要的意义，更是落实国家“绿水青山就是金山银山”的发展战略，具有公共性，属于公共财政支持范围，筹资渠道符合法律法规规定，筹资结构合理，资金来源渠道明确，资金到位时间、条件能够落实。</w:t>
      </w:r>
    </w:p>
    <w:p w14:paraId="161C38F8">
      <w:pPr>
        <w:spacing w:line="578" w:lineRule="exact"/>
        <w:ind w:firstLine="640"/>
        <w:rPr>
          <w:rFonts w:eastAsia="仿宋_GB2312" w:cs="仿宋_GB2312"/>
          <w:b/>
          <w:kern w:val="0"/>
          <w:sz w:val="32"/>
          <w:szCs w:val="32"/>
        </w:rPr>
      </w:pPr>
      <w:r>
        <w:rPr>
          <w:rFonts w:eastAsia="仿宋_GB2312" w:cs="仿宋_GB2312"/>
          <w:b/>
          <w:kern w:val="0"/>
          <w:sz w:val="32"/>
          <w:szCs w:val="32"/>
        </w:rPr>
        <w:t>3．资金管理办法制定情况，资金支持具体项目的条件、范围与支持方式概况。</w:t>
      </w:r>
    </w:p>
    <w:p w14:paraId="5C8500F6">
      <w:pPr>
        <w:spacing w:line="578" w:lineRule="exact"/>
        <w:ind w:firstLine="640"/>
        <w:rPr>
          <w:rFonts w:eastAsia="仿宋_GB2312" w:cs="仿宋_GB2312"/>
          <w:kern w:val="0"/>
          <w:sz w:val="32"/>
          <w:szCs w:val="32"/>
        </w:rPr>
      </w:pPr>
      <w:r>
        <w:rPr>
          <w:rFonts w:hint="eastAsia" w:eastAsia="仿宋_GB2312" w:cs="仿宋_GB2312"/>
          <w:kern w:val="0"/>
          <w:sz w:val="32"/>
          <w:szCs w:val="32"/>
        </w:rPr>
        <w:t>项目承担单位根据四川省科技厅印发《四川省科技计划管理办法》川科政（2022）4号、四川省财政厅、四川省科学技术厅印发《关于改革完善省级财政科研经费管理的实施意见》等科研项目及经费管理办法等，结合单位实际，制定了《攀枝花市农林科学研究院财务管理办法》和《攀枝花市农林科学研究院非政府采购类项目的采购管理办法》攀农林（2025）47号。项目经费实行专款专用，严格按照规定实行逐级审核的报账制度。</w:t>
      </w:r>
    </w:p>
    <w:p w14:paraId="0612B314">
      <w:pPr>
        <w:spacing w:line="578" w:lineRule="exact"/>
        <w:ind w:firstLine="640"/>
        <w:rPr>
          <w:rFonts w:eastAsia="仿宋_GB2312" w:cs="仿宋_GB2312"/>
          <w:b/>
          <w:kern w:val="0"/>
          <w:sz w:val="32"/>
          <w:szCs w:val="32"/>
        </w:rPr>
      </w:pPr>
      <w:r>
        <w:rPr>
          <w:rFonts w:eastAsia="仿宋_GB2312" w:cs="仿宋_GB2312"/>
          <w:b/>
          <w:kern w:val="0"/>
          <w:sz w:val="32"/>
          <w:szCs w:val="32"/>
        </w:rPr>
        <w:t>4.资金分配的原则及考虑因素。</w:t>
      </w:r>
    </w:p>
    <w:p w14:paraId="31B4F4CC">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本项目资金预算110万元，其中块菌（松露）生态栽培技术深化研究与示范30万，</w:t>
      </w:r>
      <w:bookmarkStart w:id="81" w:name="OLE_LINK8"/>
      <w:r>
        <w:rPr>
          <w:rFonts w:hint="eastAsia" w:eastAsia="仿宋_GB2312" w:cs="仿宋_GB2312"/>
          <w:kern w:val="0"/>
          <w:sz w:val="32"/>
          <w:szCs w:val="32"/>
        </w:rPr>
        <w:t>用于开展黑块菌、攀枝花白块菌优质高产稳产栽培技术攻关；林下中药材高效种植技术推广20万，用于示范中药材种植20亩，推广续断、何首乌、活血丹种植技术等；核桃良种选育（2025年）20万，用于开展本地核桃优良资源调查，开展攀核1号区域试验的管护及良种审定等；板栗主要病虫害栗实象综合防控技术研究及示范20万，用于针对板栗主要害虫栗实象开展发生规律及关键防控技术研究；林下魔芋种植技术推广10万，用于推广林下魔芋种植品种，种植技术等；椰枣引种栽培技术研究10万，用于引进椰枣品种，建立试验基地，开展引进品种的适应性研究等。</w:t>
      </w:r>
    </w:p>
    <w:bookmarkEnd w:id="81"/>
    <w:p w14:paraId="1ED4F378">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69814B4C">
      <w:pPr>
        <w:spacing w:line="578" w:lineRule="exact"/>
        <w:ind w:firstLine="640"/>
        <w:rPr>
          <w:rFonts w:eastAsia="仿宋_GB2312" w:cs="仿宋_GB2312"/>
          <w:b/>
          <w:kern w:val="0"/>
          <w:sz w:val="32"/>
          <w:szCs w:val="32"/>
        </w:rPr>
      </w:pPr>
      <w:r>
        <w:rPr>
          <w:rFonts w:eastAsia="仿宋_GB2312" w:cs="仿宋_GB2312"/>
          <w:b/>
          <w:kern w:val="0"/>
          <w:sz w:val="32"/>
          <w:szCs w:val="32"/>
        </w:rPr>
        <w:t>1. 项目主要内容。</w:t>
      </w:r>
    </w:p>
    <w:p w14:paraId="49145A61">
      <w:pPr>
        <w:spacing w:line="578" w:lineRule="exact"/>
        <w:ind w:firstLine="640"/>
        <w:rPr>
          <w:rFonts w:eastAsia="仿宋_GB2312" w:cs="仿宋_GB2312"/>
          <w:kern w:val="0"/>
          <w:sz w:val="32"/>
          <w:szCs w:val="32"/>
        </w:rPr>
      </w:pPr>
      <w:r>
        <w:rPr>
          <w:rFonts w:hint="eastAsia" w:eastAsia="仿宋_GB2312" w:cs="仿宋_GB2312"/>
          <w:kern w:val="0"/>
          <w:sz w:val="32"/>
          <w:szCs w:val="32"/>
        </w:rPr>
        <w:t>根据产业发展需求，开展板栗主要害虫栗实象综合防控技术研究及示范、核桃良种选育研究、块菌（松露）生态栽培技术深化研究与示范、林下魔芋种植技术推广、林下中药材高效种植技术推广、椰枣引种栽培技术研究。通过培养特色种植业，选育良种、研究板栗主要害虫栗实象发生规律及关键防控技术等，提升林地综合效益，助推乡村振兴产业发展。</w:t>
      </w:r>
    </w:p>
    <w:p w14:paraId="42F718D1">
      <w:pPr>
        <w:spacing w:line="578" w:lineRule="exact"/>
        <w:ind w:firstLine="640"/>
        <w:rPr>
          <w:rFonts w:eastAsia="仿宋_GB2312" w:cs="仿宋_GB2312"/>
          <w:b/>
          <w:kern w:val="0"/>
          <w:sz w:val="32"/>
          <w:szCs w:val="32"/>
        </w:rPr>
      </w:pPr>
      <w:r>
        <w:rPr>
          <w:rFonts w:eastAsia="仿宋_GB2312" w:cs="仿宋_GB2312"/>
          <w:b/>
          <w:kern w:val="0"/>
          <w:sz w:val="32"/>
          <w:szCs w:val="32"/>
        </w:rPr>
        <w:t>2. 项目应实现的具体绩效目标，包括目标的量化、细化情况以及项目实施进度计划等。</w:t>
      </w:r>
    </w:p>
    <w:p w14:paraId="3893A955">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目标量化可考核，与项目总体目标相匹配，全面完整，与国家、省、市政策相契合，与省林草局和市林业局长期规划目标、年度工作目标相一致，产出和效果相关联，群众满意度指标预测较准确（详见下表）。</w:t>
      </w:r>
    </w:p>
    <w:p w14:paraId="339F2CF3">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生态功能区转移支付项目</w:t>
      </w:r>
      <w:r>
        <w:rPr>
          <w:rFonts w:eastAsia="仿宋_GB2312" w:cs="仿宋_GB2312"/>
          <w:kern w:val="0"/>
          <w:sz w:val="32"/>
          <w:szCs w:val="32"/>
        </w:rPr>
        <w:t>绩效目标表</w:t>
      </w:r>
    </w:p>
    <w:tbl>
      <w:tblPr>
        <w:tblStyle w:val="18"/>
        <w:tblW w:w="8931" w:type="dxa"/>
        <w:tblInd w:w="15" w:type="dxa"/>
        <w:tblLayout w:type="fixed"/>
        <w:tblCellMar>
          <w:top w:w="0" w:type="dxa"/>
          <w:left w:w="0" w:type="dxa"/>
          <w:bottom w:w="0" w:type="dxa"/>
          <w:right w:w="0" w:type="dxa"/>
        </w:tblCellMar>
      </w:tblPr>
      <w:tblGrid>
        <w:gridCol w:w="1418"/>
        <w:gridCol w:w="1559"/>
        <w:gridCol w:w="2977"/>
        <w:gridCol w:w="2977"/>
      </w:tblGrid>
      <w:tr w14:paraId="60F4F8BC">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69055">
            <w:pPr>
              <w:widowControl/>
              <w:snapToGrid w:val="0"/>
              <w:spacing w:line="320" w:lineRule="atLeast"/>
              <w:jc w:val="center"/>
              <w:textAlignment w:val="center"/>
              <w:rPr>
                <w:bCs/>
                <w:color w:val="000000"/>
                <w:sz w:val="18"/>
                <w:szCs w:val="18"/>
              </w:rPr>
            </w:pPr>
            <w:r>
              <w:rPr>
                <w:bCs/>
                <w:color w:val="000000"/>
                <w:kern w:val="0"/>
                <w:sz w:val="18"/>
                <w:szCs w:val="18"/>
              </w:rPr>
              <w:t>一级指标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689E2">
            <w:pPr>
              <w:widowControl/>
              <w:snapToGrid w:val="0"/>
              <w:spacing w:line="320" w:lineRule="atLeast"/>
              <w:jc w:val="center"/>
              <w:textAlignment w:val="center"/>
              <w:rPr>
                <w:bCs/>
                <w:color w:val="000000"/>
                <w:sz w:val="18"/>
                <w:szCs w:val="18"/>
              </w:rPr>
            </w:pPr>
            <w:r>
              <w:rPr>
                <w:bCs/>
                <w:color w:val="000000"/>
                <w:kern w:val="0"/>
                <w:sz w:val="18"/>
                <w:szCs w:val="18"/>
              </w:rPr>
              <w:t>二级指标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3DFEC">
            <w:pPr>
              <w:widowControl/>
              <w:snapToGrid w:val="0"/>
              <w:spacing w:line="320" w:lineRule="atLeast"/>
              <w:jc w:val="center"/>
              <w:textAlignment w:val="center"/>
              <w:rPr>
                <w:bCs/>
                <w:color w:val="000000"/>
                <w:sz w:val="18"/>
                <w:szCs w:val="18"/>
              </w:rPr>
            </w:pPr>
            <w:r>
              <w:rPr>
                <w:bCs/>
                <w:color w:val="000000"/>
                <w:kern w:val="0"/>
                <w:sz w:val="18"/>
                <w:szCs w:val="18"/>
              </w:rPr>
              <w:t>三级指标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2EB11">
            <w:pPr>
              <w:widowControl/>
              <w:snapToGrid w:val="0"/>
              <w:spacing w:line="320" w:lineRule="atLeast"/>
              <w:jc w:val="center"/>
              <w:textAlignment w:val="center"/>
              <w:rPr>
                <w:bCs/>
                <w:color w:val="000000"/>
                <w:sz w:val="18"/>
                <w:szCs w:val="18"/>
              </w:rPr>
            </w:pPr>
            <w:r>
              <w:rPr>
                <w:bCs/>
                <w:color w:val="000000"/>
                <w:kern w:val="0"/>
                <w:sz w:val="18"/>
                <w:szCs w:val="18"/>
              </w:rPr>
              <w:t>指标值</w:t>
            </w:r>
          </w:p>
        </w:tc>
      </w:tr>
      <w:tr w14:paraId="0ABE139E">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3984C">
            <w:pPr>
              <w:widowControl/>
              <w:jc w:val="center"/>
              <w:textAlignment w:val="center"/>
              <w:rPr>
                <w:bCs/>
                <w:color w:val="000000"/>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E47A9">
            <w:pPr>
              <w:widowControl/>
              <w:jc w:val="center"/>
              <w:textAlignment w:val="center"/>
              <w:rPr>
                <w:bCs/>
                <w:color w:val="000000"/>
                <w:kern w:val="0"/>
                <w:sz w:val="18"/>
                <w:szCs w:val="18"/>
              </w:rPr>
            </w:pPr>
            <w:r>
              <w:rPr>
                <w:rFonts w:hint="eastAsia" w:ascii="等线" w:eastAsia="等线"/>
                <w:color w:val="000000"/>
                <w:sz w:val="18"/>
                <w:szCs w:val="18"/>
              </w:rPr>
              <w:t>数量指标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FDEFB7">
            <w:pPr>
              <w:widowControl/>
              <w:jc w:val="center"/>
              <w:textAlignment w:val="center"/>
              <w:rPr>
                <w:bCs/>
                <w:color w:val="000000"/>
                <w:kern w:val="0"/>
                <w:sz w:val="18"/>
                <w:szCs w:val="18"/>
              </w:rPr>
            </w:pPr>
            <w:r>
              <w:rPr>
                <w:rFonts w:hint="eastAsia" w:ascii="等线" w:eastAsia="等线"/>
                <w:color w:val="000000"/>
                <w:sz w:val="18"/>
                <w:szCs w:val="18"/>
              </w:rPr>
              <w:t>引进、示范、嫁接、培育新品种</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E6E44">
            <w:pPr>
              <w:widowControl/>
              <w:jc w:val="center"/>
              <w:textAlignment w:val="center"/>
              <w:rPr>
                <w:bCs/>
                <w:color w:val="000000"/>
                <w:kern w:val="0"/>
                <w:sz w:val="18"/>
                <w:szCs w:val="18"/>
              </w:rPr>
            </w:pPr>
            <w:r>
              <w:rPr>
                <w:rFonts w:hint="eastAsia" w:ascii="等线" w:eastAsia="等线"/>
                <w:color w:val="000000"/>
                <w:sz w:val="18"/>
                <w:szCs w:val="18"/>
              </w:rPr>
              <w:t>18个</w:t>
            </w:r>
          </w:p>
        </w:tc>
      </w:tr>
      <w:tr w14:paraId="7291E0FB">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7D7FA4">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3E2354">
            <w:pPr>
              <w:widowControl/>
              <w:jc w:val="center"/>
              <w:textAlignment w:val="center"/>
              <w:rPr>
                <w:bCs/>
                <w:color w:val="000000"/>
                <w:kern w:val="0"/>
                <w:sz w:val="18"/>
                <w:szCs w:val="18"/>
              </w:rPr>
            </w:pPr>
            <w:r>
              <w:rPr>
                <w:rFonts w:hint="eastAsia" w:ascii="等线" w:eastAsia="等线"/>
                <w:color w:val="000000"/>
                <w:sz w:val="18"/>
                <w:szCs w:val="18"/>
              </w:rPr>
              <w:t>数量指标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91DD7">
            <w:pPr>
              <w:widowControl/>
              <w:jc w:val="center"/>
              <w:textAlignment w:val="center"/>
              <w:rPr>
                <w:bCs/>
                <w:color w:val="000000"/>
                <w:kern w:val="0"/>
                <w:sz w:val="18"/>
                <w:szCs w:val="18"/>
              </w:rPr>
            </w:pPr>
            <w:r>
              <w:rPr>
                <w:rFonts w:hint="eastAsia" w:ascii="等线" w:eastAsia="等线"/>
                <w:color w:val="000000"/>
                <w:sz w:val="18"/>
                <w:szCs w:val="18"/>
              </w:rPr>
              <w:t>建立示范基地</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0217F">
            <w:pPr>
              <w:widowControl/>
              <w:jc w:val="center"/>
              <w:textAlignment w:val="center"/>
              <w:rPr>
                <w:bCs/>
                <w:color w:val="000000"/>
                <w:kern w:val="0"/>
                <w:sz w:val="18"/>
                <w:szCs w:val="18"/>
              </w:rPr>
            </w:pPr>
            <w:r>
              <w:rPr>
                <w:rFonts w:hint="eastAsia" w:ascii="等线" w:eastAsia="等线"/>
                <w:color w:val="000000"/>
                <w:sz w:val="18"/>
                <w:szCs w:val="18"/>
              </w:rPr>
              <w:t>6个</w:t>
            </w:r>
          </w:p>
        </w:tc>
      </w:tr>
      <w:tr w14:paraId="0C31F3AA">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11F57">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2C468">
            <w:pPr>
              <w:widowControl/>
              <w:jc w:val="center"/>
              <w:textAlignment w:val="center"/>
              <w:rPr>
                <w:bCs/>
                <w:color w:val="000000"/>
                <w:kern w:val="0"/>
                <w:sz w:val="18"/>
                <w:szCs w:val="18"/>
              </w:rPr>
            </w:pPr>
            <w:r>
              <w:rPr>
                <w:rFonts w:hint="eastAsia" w:ascii="等线" w:eastAsia="等线"/>
                <w:color w:val="000000"/>
                <w:sz w:val="18"/>
                <w:szCs w:val="18"/>
              </w:rPr>
              <w:t>数量指标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9F1B01">
            <w:pPr>
              <w:widowControl/>
              <w:jc w:val="center"/>
              <w:textAlignment w:val="center"/>
              <w:rPr>
                <w:bCs/>
                <w:color w:val="000000"/>
                <w:kern w:val="0"/>
                <w:sz w:val="18"/>
                <w:szCs w:val="18"/>
              </w:rPr>
            </w:pPr>
            <w:r>
              <w:rPr>
                <w:rFonts w:hint="eastAsia" w:ascii="等线" w:eastAsia="等线"/>
                <w:color w:val="000000"/>
                <w:sz w:val="18"/>
                <w:szCs w:val="18"/>
              </w:rPr>
              <w:t>示范面积</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0F8E5">
            <w:pPr>
              <w:widowControl/>
              <w:jc w:val="center"/>
              <w:textAlignment w:val="center"/>
              <w:rPr>
                <w:bCs/>
                <w:color w:val="000000"/>
                <w:kern w:val="0"/>
                <w:sz w:val="18"/>
                <w:szCs w:val="18"/>
              </w:rPr>
            </w:pPr>
            <w:r>
              <w:rPr>
                <w:rFonts w:hint="eastAsia" w:ascii="等线" w:eastAsia="等线"/>
                <w:color w:val="000000"/>
                <w:sz w:val="18"/>
                <w:szCs w:val="18"/>
              </w:rPr>
              <w:t>100亩</w:t>
            </w:r>
          </w:p>
        </w:tc>
      </w:tr>
      <w:tr w14:paraId="25EA0B21">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B1A63B">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83E57">
            <w:pPr>
              <w:widowControl/>
              <w:jc w:val="center"/>
              <w:textAlignment w:val="center"/>
              <w:rPr>
                <w:bCs/>
                <w:color w:val="000000"/>
                <w:kern w:val="0"/>
                <w:sz w:val="18"/>
                <w:szCs w:val="18"/>
              </w:rPr>
            </w:pPr>
            <w:r>
              <w:rPr>
                <w:rFonts w:hint="eastAsia" w:ascii="等线" w:eastAsia="等线"/>
                <w:color w:val="000000"/>
                <w:sz w:val="18"/>
                <w:szCs w:val="18"/>
              </w:rPr>
              <w:t>数量指标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6EDE68">
            <w:pPr>
              <w:widowControl/>
              <w:jc w:val="center"/>
              <w:textAlignment w:val="center"/>
              <w:rPr>
                <w:bCs/>
                <w:color w:val="000000"/>
                <w:kern w:val="0"/>
                <w:sz w:val="18"/>
                <w:szCs w:val="18"/>
              </w:rPr>
            </w:pPr>
            <w:r>
              <w:rPr>
                <w:rFonts w:hint="eastAsia" w:ascii="等线" w:eastAsia="等线"/>
                <w:color w:val="000000"/>
                <w:sz w:val="18"/>
                <w:szCs w:val="18"/>
              </w:rPr>
              <w:t>技术指导服务面积</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B407BD">
            <w:pPr>
              <w:widowControl/>
              <w:jc w:val="center"/>
              <w:textAlignment w:val="center"/>
              <w:rPr>
                <w:bCs/>
                <w:color w:val="000000"/>
                <w:kern w:val="0"/>
                <w:sz w:val="18"/>
                <w:szCs w:val="18"/>
              </w:rPr>
            </w:pPr>
            <w:r>
              <w:rPr>
                <w:rFonts w:hint="eastAsia" w:ascii="等线" w:eastAsia="等线"/>
                <w:color w:val="000000"/>
                <w:sz w:val="18"/>
                <w:szCs w:val="18"/>
              </w:rPr>
              <w:t>2000亩</w:t>
            </w:r>
          </w:p>
        </w:tc>
      </w:tr>
      <w:tr w14:paraId="2BB19813">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4E4AC">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72FEB">
            <w:pPr>
              <w:widowControl/>
              <w:jc w:val="center"/>
              <w:textAlignment w:val="center"/>
              <w:rPr>
                <w:bCs/>
                <w:color w:val="000000"/>
                <w:kern w:val="0"/>
                <w:sz w:val="18"/>
                <w:szCs w:val="18"/>
              </w:rPr>
            </w:pPr>
            <w:r>
              <w:rPr>
                <w:rFonts w:hint="eastAsia" w:ascii="等线" w:eastAsia="等线"/>
                <w:color w:val="000000"/>
                <w:sz w:val="18"/>
                <w:szCs w:val="18"/>
              </w:rPr>
              <w:t>质量指标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FF113">
            <w:pPr>
              <w:widowControl/>
              <w:jc w:val="center"/>
              <w:textAlignment w:val="center"/>
              <w:rPr>
                <w:bCs/>
                <w:color w:val="000000"/>
                <w:kern w:val="0"/>
                <w:sz w:val="18"/>
                <w:szCs w:val="18"/>
              </w:rPr>
            </w:pPr>
            <w:r>
              <w:rPr>
                <w:rFonts w:hint="eastAsia" w:ascii="等线" w:eastAsia="等线"/>
                <w:color w:val="000000"/>
                <w:sz w:val="18"/>
                <w:szCs w:val="18"/>
              </w:rPr>
              <w:t>研究集成板栗综合防控技术</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381729">
            <w:pPr>
              <w:widowControl/>
              <w:jc w:val="center"/>
              <w:textAlignment w:val="center"/>
              <w:rPr>
                <w:bCs/>
                <w:color w:val="000000"/>
                <w:kern w:val="0"/>
                <w:sz w:val="18"/>
                <w:szCs w:val="18"/>
              </w:rPr>
            </w:pPr>
            <w:r>
              <w:rPr>
                <w:rFonts w:hint="eastAsia" w:ascii="等线" w:eastAsia="等线"/>
                <w:color w:val="000000"/>
                <w:sz w:val="18"/>
                <w:szCs w:val="18"/>
              </w:rPr>
              <w:t>1套</w:t>
            </w:r>
          </w:p>
        </w:tc>
      </w:tr>
      <w:tr w14:paraId="5F8E76E0">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CE88C">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CBB4B">
            <w:pPr>
              <w:widowControl/>
              <w:jc w:val="center"/>
              <w:textAlignment w:val="center"/>
              <w:rPr>
                <w:bCs/>
                <w:color w:val="000000"/>
                <w:kern w:val="0"/>
                <w:sz w:val="18"/>
                <w:szCs w:val="18"/>
              </w:rPr>
            </w:pPr>
            <w:r>
              <w:rPr>
                <w:rFonts w:hint="eastAsia" w:ascii="等线" w:eastAsia="等线"/>
                <w:color w:val="000000"/>
                <w:sz w:val="18"/>
                <w:szCs w:val="18"/>
              </w:rPr>
              <w:t>质量指标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880FE3">
            <w:pPr>
              <w:widowControl/>
              <w:jc w:val="center"/>
              <w:textAlignment w:val="center"/>
              <w:rPr>
                <w:bCs/>
                <w:color w:val="000000"/>
                <w:kern w:val="0"/>
                <w:sz w:val="18"/>
                <w:szCs w:val="18"/>
              </w:rPr>
            </w:pPr>
            <w:r>
              <w:rPr>
                <w:rFonts w:hint="eastAsia" w:ascii="等线" w:eastAsia="等线"/>
                <w:color w:val="000000"/>
                <w:sz w:val="18"/>
                <w:szCs w:val="18"/>
              </w:rPr>
              <w:t>块菌苗栽培成活率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C03E6">
            <w:pPr>
              <w:widowControl/>
              <w:jc w:val="center"/>
              <w:textAlignment w:val="center"/>
              <w:rPr>
                <w:bCs/>
                <w:color w:val="000000"/>
                <w:kern w:val="0"/>
                <w:sz w:val="18"/>
                <w:szCs w:val="18"/>
              </w:rPr>
            </w:pPr>
            <w:r>
              <w:rPr>
                <w:rFonts w:hint="eastAsia" w:ascii="等线" w:eastAsia="等线"/>
                <w:color w:val="000000"/>
                <w:sz w:val="18"/>
                <w:szCs w:val="18"/>
              </w:rPr>
              <w:t>95%</w:t>
            </w:r>
          </w:p>
        </w:tc>
      </w:tr>
      <w:tr w14:paraId="6478BAC4">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DB024">
            <w:pPr>
              <w:widowControl/>
              <w:jc w:val="center"/>
              <w:textAlignment w:val="center"/>
              <w:rPr>
                <w:kern w:val="0"/>
                <w:sz w:val="18"/>
                <w:szCs w:val="18"/>
              </w:rPr>
            </w:pPr>
            <w:r>
              <w:rPr>
                <w:rFonts w:hint="eastAsia" w:ascii="等线" w:eastAsia="等线"/>
                <w:color w:val="000000"/>
                <w:sz w:val="18"/>
                <w:szCs w:val="18"/>
              </w:rPr>
              <w:t>产出指标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9ABB0">
            <w:pPr>
              <w:widowControl/>
              <w:jc w:val="center"/>
              <w:textAlignment w:val="center"/>
              <w:rPr>
                <w:bCs/>
                <w:color w:val="000000"/>
                <w:kern w:val="0"/>
                <w:sz w:val="18"/>
                <w:szCs w:val="18"/>
              </w:rPr>
            </w:pPr>
            <w:r>
              <w:rPr>
                <w:rFonts w:hint="eastAsia" w:ascii="等线" w:eastAsia="等线"/>
                <w:color w:val="000000"/>
                <w:sz w:val="18"/>
                <w:szCs w:val="18"/>
              </w:rPr>
              <w:t>时效指标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D86E1">
            <w:pPr>
              <w:widowControl/>
              <w:jc w:val="center"/>
              <w:textAlignment w:val="center"/>
              <w:rPr>
                <w:bCs/>
                <w:color w:val="000000"/>
                <w:kern w:val="0"/>
                <w:sz w:val="18"/>
                <w:szCs w:val="18"/>
              </w:rPr>
            </w:pPr>
            <w:r>
              <w:rPr>
                <w:rFonts w:hint="eastAsia" w:ascii="等线" w:eastAsia="等线"/>
                <w:color w:val="000000"/>
                <w:sz w:val="18"/>
                <w:szCs w:val="18"/>
              </w:rPr>
              <w:t>资金到位后1年内完成</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2C666">
            <w:pPr>
              <w:widowControl/>
              <w:jc w:val="center"/>
              <w:textAlignment w:val="center"/>
              <w:rPr>
                <w:bCs/>
                <w:color w:val="000000"/>
                <w:kern w:val="0"/>
                <w:sz w:val="18"/>
                <w:szCs w:val="18"/>
              </w:rPr>
            </w:pPr>
            <w:r>
              <w:rPr>
                <w:rFonts w:hint="eastAsia" w:ascii="等线" w:eastAsia="等线"/>
                <w:color w:val="000000"/>
                <w:sz w:val="18"/>
                <w:szCs w:val="18"/>
              </w:rPr>
              <w:t>1年</w:t>
            </w:r>
          </w:p>
        </w:tc>
      </w:tr>
      <w:tr w14:paraId="03695BD7">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A4262">
            <w:pPr>
              <w:widowControl/>
              <w:jc w:val="center"/>
              <w:textAlignment w:val="center"/>
              <w:rPr>
                <w:kern w:val="0"/>
                <w:sz w:val="18"/>
                <w:szCs w:val="18"/>
              </w:rPr>
            </w:pPr>
            <w:r>
              <w:rPr>
                <w:rFonts w:hint="eastAsia" w:ascii="等线" w:eastAsia="等线"/>
                <w:color w:val="000000"/>
                <w:sz w:val="18"/>
                <w:szCs w:val="18"/>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44A42">
            <w:pPr>
              <w:widowControl/>
              <w:jc w:val="center"/>
              <w:textAlignment w:val="center"/>
              <w:rPr>
                <w:bCs/>
                <w:color w:val="000000"/>
                <w:kern w:val="0"/>
                <w:sz w:val="18"/>
                <w:szCs w:val="18"/>
              </w:rPr>
            </w:pPr>
            <w:r>
              <w:rPr>
                <w:rFonts w:hint="eastAsia" w:ascii="等线" w:eastAsia="等线"/>
                <w:color w:val="000000"/>
                <w:sz w:val="18"/>
                <w:szCs w:val="18"/>
              </w:rPr>
              <w:t>经济效益指标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3FF10">
            <w:pPr>
              <w:widowControl/>
              <w:jc w:val="center"/>
              <w:textAlignment w:val="center"/>
              <w:rPr>
                <w:bCs/>
                <w:color w:val="000000"/>
                <w:kern w:val="0"/>
                <w:sz w:val="18"/>
                <w:szCs w:val="18"/>
              </w:rPr>
            </w:pPr>
            <w:r>
              <w:rPr>
                <w:rFonts w:hint="eastAsia" w:ascii="等线" w:eastAsia="等线"/>
                <w:color w:val="000000"/>
                <w:sz w:val="18"/>
                <w:szCs w:val="18"/>
              </w:rPr>
              <w:t>魔芋示范品种亩产</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22ED2">
            <w:pPr>
              <w:widowControl/>
              <w:jc w:val="center"/>
              <w:textAlignment w:val="center"/>
              <w:rPr>
                <w:bCs/>
                <w:color w:val="000000"/>
                <w:kern w:val="0"/>
                <w:sz w:val="18"/>
                <w:szCs w:val="18"/>
              </w:rPr>
            </w:pPr>
            <w:r>
              <w:rPr>
                <w:rFonts w:hint="eastAsia" w:ascii="等线" w:eastAsia="等线"/>
                <w:color w:val="000000"/>
                <w:sz w:val="18"/>
                <w:szCs w:val="18"/>
              </w:rPr>
              <w:t>1500公斤</w:t>
            </w:r>
          </w:p>
        </w:tc>
      </w:tr>
      <w:tr w14:paraId="5FF5F7F9">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D1865">
            <w:pPr>
              <w:widowControl/>
              <w:jc w:val="center"/>
              <w:textAlignment w:val="center"/>
              <w:rPr>
                <w:kern w:val="0"/>
                <w:sz w:val="18"/>
                <w:szCs w:val="18"/>
              </w:rPr>
            </w:pPr>
            <w:r>
              <w:rPr>
                <w:rFonts w:hint="eastAsia" w:ascii="等线" w:eastAsia="等线"/>
                <w:color w:val="000000"/>
                <w:sz w:val="18"/>
                <w:szCs w:val="18"/>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B4A173">
            <w:pPr>
              <w:widowControl/>
              <w:jc w:val="center"/>
              <w:textAlignment w:val="center"/>
              <w:rPr>
                <w:bCs/>
                <w:color w:val="000000"/>
                <w:kern w:val="0"/>
                <w:sz w:val="18"/>
                <w:szCs w:val="18"/>
              </w:rPr>
            </w:pPr>
            <w:r>
              <w:rPr>
                <w:rFonts w:hint="eastAsia" w:ascii="等线" w:eastAsia="等线"/>
                <w:color w:val="000000"/>
                <w:sz w:val="18"/>
                <w:szCs w:val="18"/>
              </w:rPr>
              <w:t>经济效益指标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9C1F7">
            <w:pPr>
              <w:widowControl/>
              <w:jc w:val="center"/>
              <w:textAlignment w:val="center"/>
              <w:rPr>
                <w:bCs/>
                <w:color w:val="000000"/>
                <w:kern w:val="0"/>
                <w:sz w:val="18"/>
                <w:szCs w:val="18"/>
              </w:rPr>
            </w:pPr>
            <w:r>
              <w:rPr>
                <w:rFonts w:hint="eastAsia" w:ascii="等线" w:eastAsia="等线"/>
                <w:color w:val="000000"/>
                <w:sz w:val="18"/>
                <w:szCs w:val="18"/>
              </w:rPr>
              <w:t>块菌产出效益</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3FD77">
            <w:pPr>
              <w:widowControl/>
              <w:jc w:val="center"/>
              <w:textAlignment w:val="center"/>
              <w:rPr>
                <w:bCs/>
                <w:color w:val="000000"/>
                <w:kern w:val="0"/>
                <w:sz w:val="18"/>
                <w:szCs w:val="18"/>
              </w:rPr>
            </w:pPr>
            <w:r>
              <w:rPr>
                <w:rFonts w:hint="eastAsia" w:ascii="等线" w:eastAsia="等线"/>
                <w:color w:val="000000"/>
                <w:sz w:val="18"/>
                <w:szCs w:val="18"/>
              </w:rPr>
              <w:t>2000元/亩</w:t>
            </w:r>
          </w:p>
        </w:tc>
      </w:tr>
      <w:tr w14:paraId="0E489FA0">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971BBB">
            <w:pPr>
              <w:widowControl/>
              <w:jc w:val="center"/>
              <w:textAlignment w:val="center"/>
              <w:rPr>
                <w:kern w:val="0"/>
                <w:sz w:val="18"/>
                <w:szCs w:val="18"/>
              </w:rPr>
            </w:pPr>
            <w:r>
              <w:rPr>
                <w:rFonts w:hint="eastAsia" w:ascii="等线" w:eastAsia="等线"/>
                <w:color w:val="000000"/>
                <w:sz w:val="18"/>
                <w:szCs w:val="18"/>
              </w:rPr>
              <w:t>效益指标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438E2">
            <w:pPr>
              <w:widowControl/>
              <w:jc w:val="center"/>
              <w:textAlignment w:val="center"/>
              <w:rPr>
                <w:bCs/>
                <w:color w:val="000000"/>
                <w:kern w:val="0"/>
                <w:sz w:val="18"/>
                <w:szCs w:val="18"/>
              </w:rPr>
            </w:pPr>
            <w:r>
              <w:rPr>
                <w:rFonts w:hint="eastAsia" w:ascii="等线" w:eastAsia="等线"/>
                <w:color w:val="000000"/>
                <w:sz w:val="18"/>
                <w:szCs w:val="18"/>
              </w:rPr>
              <w:t>经济效益指标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7D3EA">
            <w:pPr>
              <w:widowControl/>
              <w:jc w:val="center"/>
              <w:textAlignment w:val="center"/>
              <w:rPr>
                <w:bCs/>
                <w:color w:val="000000"/>
                <w:kern w:val="0"/>
                <w:sz w:val="18"/>
                <w:szCs w:val="18"/>
              </w:rPr>
            </w:pPr>
            <w:r>
              <w:rPr>
                <w:rFonts w:hint="eastAsia" w:ascii="等线" w:eastAsia="等线"/>
                <w:color w:val="000000"/>
                <w:sz w:val="18"/>
                <w:szCs w:val="18"/>
              </w:rPr>
              <w:t>中草药示范品种亩产</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1BFB5">
            <w:pPr>
              <w:widowControl/>
              <w:jc w:val="center"/>
              <w:textAlignment w:val="center"/>
              <w:rPr>
                <w:bCs/>
                <w:color w:val="000000"/>
                <w:kern w:val="0"/>
                <w:sz w:val="18"/>
                <w:szCs w:val="18"/>
              </w:rPr>
            </w:pPr>
            <w:r>
              <w:rPr>
                <w:rFonts w:hint="eastAsia" w:ascii="等线" w:eastAsia="等线"/>
                <w:color w:val="000000"/>
                <w:sz w:val="18"/>
                <w:szCs w:val="18"/>
              </w:rPr>
              <w:t>200公斤</w:t>
            </w:r>
          </w:p>
        </w:tc>
      </w:tr>
      <w:tr w14:paraId="4B899F91">
        <w:tblPrEx>
          <w:tblCellMar>
            <w:top w:w="0" w:type="dxa"/>
            <w:left w:w="0" w:type="dxa"/>
            <w:bottom w:w="0" w:type="dxa"/>
            <w:right w:w="0" w:type="dxa"/>
          </w:tblCellMar>
        </w:tblPrEx>
        <w:trPr>
          <w:trHeight w:val="340" w:hRule="atLeast"/>
        </w:trPr>
        <w:tc>
          <w:tcPr>
            <w:tcW w:w="1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3EAED">
            <w:pPr>
              <w:widowControl/>
              <w:jc w:val="center"/>
              <w:textAlignment w:val="center"/>
              <w:rPr>
                <w:kern w:val="0"/>
                <w:sz w:val="18"/>
                <w:szCs w:val="18"/>
              </w:rPr>
            </w:pPr>
            <w:r>
              <w:rPr>
                <w:rFonts w:hint="eastAsia" w:ascii="等线" w:eastAsia="等线"/>
                <w:color w:val="000000"/>
                <w:sz w:val="18"/>
                <w:szCs w:val="18"/>
              </w:rPr>
              <w:t>满意度指标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6A83F0">
            <w:pPr>
              <w:widowControl/>
              <w:jc w:val="center"/>
              <w:textAlignment w:val="center"/>
              <w:rPr>
                <w:bCs/>
                <w:color w:val="000000"/>
                <w:kern w:val="0"/>
                <w:sz w:val="18"/>
                <w:szCs w:val="18"/>
              </w:rPr>
            </w:pPr>
            <w:r>
              <w:rPr>
                <w:rFonts w:hint="eastAsia" w:ascii="等线" w:eastAsia="等线"/>
                <w:color w:val="000000"/>
                <w:sz w:val="18"/>
                <w:szCs w:val="18"/>
              </w:rPr>
              <w:t>服务对象满意度指标</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ED76F">
            <w:pPr>
              <w:widowControl/>
              <w:jc w:val="center"/>
              <w:textAlignment w:val="center"/>
              <w:rPr>
                <w:bCs/>
                <w:color w:val="000000"/>
                <w:kern w:val="0"/>
                <w:sz w:val="18"/>
                <w:szCs w:val="18"/>
              </w:rPr>
            </w:pPr>
            <w:r>
              <w:rPr>
                <w:rFonts w:hint="eastAsia" w:ascii="等线" w:eastAsia="等线"/>
                <w:color w:val="000000"/>
                <w:sz w:val="18"/>
                <w:szCs w:val="18"/>
              </w:rPr>
              <w:t>农户满意度</w:t>
            </w:r>
          </w:p>
        </w:tc>
        <w:tc>
          <w:tcPr>
            <w:tcW w:w="2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07DBE">
            <w:pPr>
              <w:widowControl/>
              <w:jc w:val="center"/>
              <w:textAlignment w:val="center"/>
              <w:rPr>
                <w:bCs/>
                <w:color w:val="000000"/>
                <w:kern w:val="0"/>
                <w:sz w:val="18"/>
                <w:szCs w:val="18"/>
              </w:rPr>
            </w:pPr>
            <w:r>
              <w:rPr>
                <w:rFonts w:hint="eastAsia" w:ascii="等线" w:eastAsia="等线"/>
                <w:color w:val="000000"/>
                <w:sz w:val="18"/>
                <w:szCs w:val="18"/>
              </w:rPr>
              <w:t>95%</w:t>
            </w:r>
          </w:p>
        </w:tc>
      </w:tr>
    </w:tbl>
    <w:p w14:paraId="7CA8480E">
      <w:pPr>
        <w:spacing w:line="578" w:lineRule="exact"/>
        <w:ind w:firstLine="640"/>
        <w:rPr>
          <w:rFonts w:eastAsia="仿宋_GB2312" w:cs="仿宋_GB2312"/>
          <w:kern w:val="0"/>
          <w:sz w:val="32"/>
          <w:szCs w:val="32"/>
        </w:rPr>
      </w:pPr>
    </w:p>
    <w:p w14:paraId="4CDBD6DC">
      <w:pPr>
        <w:spacing w:line="578" w:lineRule="exact"/>
        <w:ind w:firstLine="640"/>
        <w:rPr>
          <w:rFonts w:eastAsia="仿宋_GB2312" w:cs="仿宋_GB2312"/>
          <w:b/>
          <w:kern w:val="0"/>
          <w:sz w:val="32"/>
          <w:szCs w:val="32"/>
        </w:rPr>
      </w:pPr>
      <w:r>
        <w:rPr>
          <w:rFonts w:eastAsia="仿宋_GB2312" w:cs="仿宋_GB2312"/>
          <w:b/>
          <w:kern w:val="0"/>
          <w:sz w:val="32"/>
          <w:szCs w:val="32"/>
        </w:rPr>
        <w:t>3. 分析评价申报内容是否与实际相符，申报目标是否合理可行。</w:t>
      </w:r>
    </w:p>
    <w:p w14:paraId="04A28A47">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来源渠道为生态功能区转移支付资金，渠道合法合规。项目成果实现林业产业增产增收、恢复种植信心、维持社会稳定具有重要的意义，更是落实国家“绿水青山就是金山银山”的发展战略，具有公共性，属于公共财政支持范围，筹资渠道符合法律法规规定，筹资结构合理，资金来源渠道明确，资金到位时间、条件能够落实。</w:t>
      </w:r>
    </w:p>
    <w:p w14:paraId="2F0A81C9">
      <w:pPr>
        <w:spacing w:line="578" w:lineRule="exact"/>
        <w:ind w:firstLine="640"/>
        <w:rPr>
          <w:rFonts w:eastAsia="仿宋_GB2312" w:cs="仿宋_GB2312"/>
          <w:kern w:val="0"/>
          <w:sz w:val="32"/>
          <w:szCs w:val="32"/>
        </w:rPr>
      </w:pPr>
      <w:r>
        <w:rPr>
          <w:rFonts w:hint="eastAsia" w:eastAsia="仿宋_GB2312" w:cs="仿宋_GB2312"/>
          <w:kern w:val="0"/>
          <w:sz w:val="32"/>
          <w:szCs w:val="32"/>
        </w:rPr>
        <w:t>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单位财务室负责对项目经费开支情况进行审核，学术委员会负责对项目实施情况进行抽查，科技管理科对项目申报、实施、验收等进行全程监督和管理。该项目的实施，每个环节均有严格的制度办法规范工作，并在严格的监督下开展，出现工作失误风险等情况低。项目组成员均是长期参与项目的研发人员，有丰富应对不良气候和应急处理的经验，能够处理好项目实施过程中出现的突发事件。</w:t>
      </w:r>
    </w:p>
    <w:p w14:paraId="07FBB90E">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395BE117">
      <w:pPr>
        <w:spacing w:line="578" w:lineRule="exact"/>
        <w:ind w:firstLine="640"/>
        <w:rPr>
          <w:rFonts w:eastAsia="仿宋_GB2312" w:cs="仿宋_GB2312"/>
          <w:kern w:val="0"/>
          <w:sz w:val="32"/>
          <w:szCs w:val="32"/>
        </w:rPr>
      </w:pPr>
      <w:r>
        <w:rPr>
          <w:rFonts w:hint="eastAsia" w:eastAsia="仿宋_GB2312" w:cs="仿宋_GB2312"/>
          <w:kern w:val="0"/>
          <w:sz w:val="32"/>
          <w:szCs w:val="32"/>
        </w:rPr>
        <w:t>1</w:t>
      </w:r>
      <w:r>
        <w:rPr>
          <w:rFonts w:eastAsia="仿宋_GB2312" w:cs="仿宋_GB2312"/>
          <w:kern w:val="0"/>
          <w:sz w:val="32"/>
          <w:szCs w:val="32"/>
        </w:rPr>
        <w:t>.</w:t>
      </w:r>
      <w:r>
        <w:rPr>
          <w:rFonts w:hint="eastAsia" w:eastAsia="仿宋_GB2312" w:cs="仿宋_GB2312"/>
          <w:kern w:val="0"/>
          <w:sz w:val="32"/>
          <w:szCs w:val="32"/>
        </w:rPr>
        <w:t>评估程序</w:t>
      </w:r>
    </w:p>
    <w:p w14:paraId="28197F30">
      <w:pPr>
        <w:spacing w:line="578" w:lineRule="exact"/>
        <w:ind w:firstLine="640"/>
        <w:rPr>
          <w:rFonts w:eastAsia="仿宋_GB2312" w:cs="仿宋_GB2312"/>
          <w:kern w:val="0"/>
          <w:sz w:val="32"/>
          <w:szCs w:val="32"/>
        </w:rPr>
      </w:pPr>
      <w:r>
        <w:rPr>
          <w:rFonts w:hint="eastAsia" w:eastAsia="仿宋_GB2312" w:cs="仿宋_GB2312"/>
          <w:kern w:val="0"/>
          <w:sz w:val="32"/>
          <w:szCs w:val="32"/>
        </w:rPr>
        <w:t>按照有关规定和工作安排，我单位开展自行评估，通过自行组建评估组，</w:t>
      </w:r>
      <w:r>
        <w:rPr>
          <w:rFonts w:eastAsia="仿宋_GB2312" w:cs="仿宋_GB2312"/>
          <w:kern w:val="0"/>
          <w:sz w:val="32"/>
          <w:szCs w:val="32"/>
        </w:rPr>
        <w:t>通过</w:t>
      </w:r>
      <w:r>
        <w:rPr>
          <w:rFonts w:hint="eastAsia" w:eastAsia="仿宋_GB2312" w:cs="仿宋_GB2312"/>
          <w:kern w:val="0"/>
          <w:sz w:val="32"/>
          <w:szCs w:val="32"/>
        </w:rPr>
        <w:t>收集被评估</w:t>
      </w:r>
      <w:r>
        <w:rPr>
          <w:rFonts w:eastAsia="仿宋_GB2312" w:cs="仿宋_GB2312"/>
          <w:kern w:val="0"/>
          <w:sz w:val="32"/>
          <w:szCs w:val="32"/>
        </w:rPr>
        <w:t>项目</w:t>
      </w:r>
      <w:r>
        <w:rPr>
          <w:rFonts w:hint="eastAsia" w:eastAsia="仿宋_GB2312" w:cs="仿宋_GB2312"/>
          <w:kern w:val="0"/>
          <w:sz w:val="32"/>
          <w:szCs w:val="32"/>
        </w:rPr>
        <w:t>相关</w:t>
      </w:r>
      <w:r>
        <w:rPr>
          <w:rFonts w:eastAsia="仿宋_GB2312" w:cs="仿宋_GB2312"/>
          <w:kern w:val="0"/>
          <w:sz w:val="32"/>
          <w:szCs w:val="32"/>
        </w:rPr>
        <w:t>基础资料，</w:t>
      </w:r>
      <w:r>
        <w:rPr>
          <w:rFonts w:hint="eastAsia" w:eastAsia="仿宋_GB2312" w:cs="仿宋_GB2312"/>
          <w:kern w:val="0"/>
          <w:sz w:val="32"/>
          <w:szCs w:val="32"/>
        </w:rPr>
        <w:t>并</w:t>
      </w:r>
      <w:r>
        <w:rPr>
          <w:rFonts w:eastAsia="仿宋_GB2312" w:cs="仿宋_GB2312"/>
          <w:kern w:val="0"/>
          <w:sz w:val="32"/>
          <w:szCs w:val="32"/>
        </w:rPr>
        <w:t>查阅资料、</w:t>
      </w:r>
      <w:r>
        <w:rPr>
          <w:rFonts w:hint="eastAsia" w:eastAsia="仿宋_GB2312" w:cs="仿宋_GB2312"/>
          <w:kern w:val="0"/>
          <w:sz w:val="32"/>
          <w:szCs w:val="32"/>
        </w:rPr>
        <w:t>收集数据信息</w:t>
      </w:r>
      <w:r>
        <w:rPr>
          <w:rFonts w:eastAsia="仿宋_GB2312" w:cs="仿宋_GB2312"/>
          <w:kern w:val="0"/>
          <w:sz w:val="32"/>
          <w:szCs w:val="32"/>
        </w:rPr>
        <w:t>等</w:t>
      </w:r>
      <w:r>
        <w:rPr>
          <w:rFonts w:hint="eastAsia" w:eastAsia="仿宋_GB2312" w:cs="仿宋_GB2312"/>
          <w:kern w:val="0"/>
          <w:sz w:val="32"/>
          <w:szCs w:val="32"/>
        </w:rPr>
        <w:t>，深入论证</w:t>
      </w:r>
      <w:r>
        <w:rPr>
          <w:rFonts w:eastAsia="仿宋_GB2312" w:cs="仿宋_GB2312"/>
          <w:kern w:val="0"/>
          <w:sz w:val="32"/>
          <w:szCs w:val="32"/>
        </w:rPr>
        <w:t>分析后，形成绩效评估报告。</w:t>
      </w:r>
    </w:p>
    <w:p w14:paraId="0F721F9E">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eastAsia="仿宋_GB2312" w:cs="仿宋_GB2312"/>
          <w:kern w:val="0"/>
          <w:sz w:val="32"/>
          <w:szCs w:val="32"/>
        </w:rPr>
        <w:t>.</w:t>
      </w:r>
      <w:r>
        <w:rPr>
          <w:rFonts w:hint="eastAsia" w:eastAsia="仿宋_GB2312" w:cs="仿宋_GB2312"/>
          <w:kern w:val="0"/>
          <w:sz w:val="32"/>
          <w:szCs w:val="32"/>
        </w:rPr>
        <w:t>评估方法</w:t>
      </w:r>
    </w:p>
    <w:p w14:paraId="67BB0C09">
      <w:pPr>
        <w:spacing w:line="578" w:lineRule="exact"/>
        <w:ind w:firstLine="640"/>
        <w:rPr>
          <w:rFonts w:eastAsia="仿宋_GB2312" w:cs="仿宋_GB2312"/>
          <w:kern w:val="0"/>
          <w:sz w:val="32"/>
          <w:szCs w:val="32"/>
        </w:rPr>
      </w:pPr>
      <w:r>
        <w:rPr>
          <w:rFonts w:hint="eastAsia" w:eastAsia="仿宋_GB2312" w:cs="仿宋_GB2312"/>
          <w:kern w:val="0"/>
          <w:sz w:val="32"/>
          <w:szCs w:val="32"/>
        </w:rPr>
        <w:t>本项目通过现场踏勘、与项目相关人员座谈或讨论</w:t>
      </w:r>
      <w:r>
        <w:rPr>
          <w:rFonts w:eastAsia="仿宋_GB2312" w:cs="仿宋_GB2312"/>
          <w:kern w:val="0"/>
          <w:sz w:val="32"/>
          <w:szCs w:val="32"/>
        </w:rPr>
        <w:t>、市场调研</w:t>
      </w:r>
      <w:r>
        <w:rPr>
          <w:rFonts w:hint="eastAsia" w:eastAsia="仿宋_GB2312" w:cs="仿宋_GB2312"/>
          <w:kern w:val="0"/>
          <w:sz w:val="32"/>
          <w:szCs w:val="32"/>
        </w:rPr>
        <w:t>等方法</w:t>
      </w:r>
      <w:r>
        <w:rPr>
          <w:rFonts w:eastAsia="仿宋_GB2312" w:cs="仿宋_GB2312"/>
          <w:kern w:val="0"/>
          <w:sz w:val="32"/>
          <w:szCs w:val="32"/>
        </w:rPr>
        <w:t>了解项目情况</w:t>
      </w:r>
      <w:r>
        <w:rPr>
          <w:rFonts w:hint="eastAsia" w:eastAsia="仿宋_GB2312" w:cs="仿宋_GB2312"/>
          <w:kern w:val="0"/>
          <w:sz w:val="32"/>
          <w:szCs w:val="32"/>
        </w:rPr>
        <w:t>，收集相关资料，综合分析相关情况后，对项目的立项必要性、投入经济性、目标合理性、方案可行性以及筹资合规性实施评估。</w:t>
      </w:r>
    </w:p>
    <w:p w14:paraId="2B11C0C8">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3B53DD22">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7E106748">
      <w:pPr>
        <w:spacing w:line="578" w:lineRule="exact"/>
        <w:ind w:firstLine="640"/>
        <w:rPr>
          <w:rFonts w:eastAsia="仿宋_GB2312" w:cs="仿宋_GB2312"/>
          <w:kern w:val="0"/>
          <w:sz w:val="32"/>
          <w:szCs w:val="32"/>
        </w:rPr>
      </w:pPr>
      <w:bookmarkStart w:id="82" w:name="_Hlk192836361"/>
      <w:r>
        <w:rPr>
          <w:rFonts w:hint="eastAsia" w:eastAsia="仿宋_GB2312" w:cs="仿宋_GB2312"/>
          <w:kern w:val="0"/>
          <w:sz w:val="32"/>
          <w:szCs w:val="32"/>
        </w:rPr>
        <w:t>生态功能区转移支付</w:t>
      </w:r>
      <w:r>
        <w:rPr>
          <w:rFonts w:eastAsia="仿宋_GB2312" w:cs="仿宋_GB2312"/>
          <w:kern w:val="0"/>
          <w:sz w:val="32"/>
          <w:szCs w:val="32"/>
        </w:rPr>
        <w:t>项目</w:t>
      </w:r>
      <w:r>
        <w:rPr>
          <w:rFonts w:hint="eastAsia" w:eastAsia="仿宋_GB2312" w:cs="仿宋_GB2312"/>
          <w:kern w:val="0"/>
          <w:sz w:val="32"/>
          <w:szCs w:val="32"/>
        </w:rPr>
        <w:t>于2025年1月由攀枝花市农林科学研究院向市林业局申报，并于2025年3月取得立项。本项目资金来源生态功能区转移支付资金，共计110万元。</w:t>
      </w:r>
      <w:bookmarkEnd w:id="82"/>
    </w:p>
    <w:p w14:paraId="16FD2586">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597C0209">
      <w:pPr>
        <w:spacing w:line="578" w:lineRule="exact"/>
        <w:ind w:firstLine="640"/>
        <w:rPr>
          <w:rFonts w:eastAsia="仿宋_GB2312" w:cs="仿宋_GB2312"/>
          <w:kern w:val="0"/>
          <w:sz w:val="32"/>
          <w:szCs w:val="32"/>
        </w:rPr>
      </w:pPr>
      <w:bookmarkStart w:id="83" w:name="OLE_LINK5"/>
      <w:r>
        <w:rPr>
          <w:rFonts w:eastAsia="仿宋_GB2312" w:cs="仿宋_GB2312"/>
          <w:kern w:val="0"/>
          <w:sz w:val="32"/>
          <w:szCs w:val="32"/>
        </w:rPr>
        <w:t>1．资金计划</w:t>
      </w:r>
      <w:bookmarkEnd w:id="83"/>
      <w:r>
        <w:rPr>
          <w:rFonts w:eastAsia="仿宋_GB2312" w:cs="仿宋_GB2312"/>
          <w:kern w:val="0"/>
          <w:sz w:val="32"/>
          <w:szCs w:val="32"/>
        </w:rPr>
        <w:t>。</w:t>
      </w:r>
    </w:p>
    <w:p w14:paraId="2E1BB96F">
      <w:pPr>
        <w:spacing w:line="578" w:lineRule="exact"/>
        <w:ind w:firstLine="640"/>
        <w:rPr>
          <w:rFonts w:eastAsia="仿宋_GB2312" w:cs="仿宋_GB2312"/>
          <w:kern w:val="0"/>
          <w:sz w:val="32"/>
          <w:szCs w:val="32"/>
        </w:rPr>
      </w:pPr>
      <w:r>
        <w:rPr>
          <w:rFonts w:hint="eastAsia" w:eastAsia="仿宋_GB2312" w:cs="仿宋_GB2312"/>
          <w:kern w:val="0"/>
          <w:sz w:val="32"/>
          <w:szCs w:val="32"/>
        </w:rPr>
        <w:t>生态功能区转移支付资金详见下表。</w:t>
      </w:r>
    </w:p>
    <w:p w14:paraId="131F14E5">
      <w:pPr>
        <w:spacing w:line="578" w:lineRule="exact"/>
        <w:ind w:firstLine="640"/>
        <w:rPr>
          <w:rFonts w:eastAsia="仿宋_GB2312" w:cs="仿宋_GB2312"/>
          <w:kern w:val="0"/>
          <w:sz w:val="32"/>
          <w:szCs w:val="32"/>
        </w:rPr>
      </w:pPr>
      <w:r>
        <w:rPr>
          <w:rFonts w:hint="eastAsia" w:eastAsia="仿宋_GB2312" w:cs="仿宋_GB2312"/>
          <w:kern w:val="0"/>
          <w:sz w:val="32"/>
          <w:szCs w:val="32"/>
        </w:rPr>
        <w:t>生态功能区转移支付资金计划表</w:t>
      </w:r>
    </w:p>
    <w:tbl>
      <w:tblPr>
        <w:tblStyle w:val="1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678"/>
        <w:gridCol w:w="1559"/>
        <w:gridCol w:w="2127"/>
      </w:tblGrid>
      <w:tr w14:paraId="225F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A679A9C">
            <w:pPr>
              <w:adjustRightInd w:val="0"/>
              <w:snapToGrid w:val="0"/>
              <w:spacing w:line="600" w:lineRule="exact"/>
              <w:rPr>
                <w:szCs w:val="21"/>
                <w:lang w:val="zh-CN"/>
              </w:rPr>
            </w:pPr>
            <w:r>
              <w:rPr>
                <w:rFonts w:hint="eastAsia"/>
                <w:szCs w:val="21"/>
                <w:lang w:val="zh-CN"/>
              </w:rPr>
              <w:t>序号</w:t>
            </w:r>
          </w:p>
        </w:tc>
        <w:tc>
          <w:tcPr>
            <w:tcW w:w="4678" w:type="dxa"/>
          </w:tcPr>
          <w:p w14:paraId="47F7233B">
            <w:pPr>
              <w:adjustRightInd w:val="0"/>
              <w:snapToGrid w:val="0"/>
              <w:spacing w:line="600" w:lineRule="exact"/>
              <w:rPr>
                <w:szCs w:val="21"/>
                <w:lang w:val="zh-CN"/>
              </w:rPr>
            </w:pPr>
            <w:r>
              <w:rPr>
                <w:rFonts w:hint="eastAsia"/>
                <w:szCs w:val="21"/>
                <w:lang w:val="zh-CN"/>
              </w:rPr>
              <w:t>项目名称</w:t>
            </w:r>
          </w:p>
        </w:tc>
        <w:tc>
          <w:tcPr>
            <w:tcW w:w="1559" w:type="dxa"/>
          </w:tcPr>
          <w:p w14:paraId="435C25C9">
            <w:pPr>
              <w:adjustRightInd w:val="0"/>
              <w:snapToGrid w:val="0"/>
              <w:spacing w:line="600" w:lineRule="exact"/>
              <w:rPr>
                <w:szCs w:val="21"/>
                <w:lang w:val="zh-CN"/>
              </w:rPr>
            </w:pPr>
            <w:r>
              <w:rPr>
                <w:rFonts w:hint="eastAsia"/>
                <w:szCs w:val="21"/>
                <w:lang w:val="zh-CN"/>
              </w:rPr>
              <w:t>资金数（万元）</w:t>
            </w:r>
          </w:p>
        </w:tc>
        <w:tc>
          <w:tcPr>
            <w:tcW w:w="2127" w:type="dxa"/>
          </w:tcPr>
          <w:p w14:paraId="6210C77D">
            <w:pPr>
              <w:adjustRightInd w:val="0"/>
              <w:snapToGrid w:val="0"/>
              <w:spacing w:line="600" w:lineRule="exact"/>
              <w:rPr>
                <w:szCs w:val="21"/>
                <w:lang w:val="zh-CN"/>
              </w:rPr>
            </w:pPr>
            <w:r>
              <w:rPr>
                <w:rFonts w:hint="eastAsia"/>
                <w:szCs w:val="21"/>
                <w:lang w:val="zh-CN"/>
              </w:rPr>
              <w:t>资金渠道</w:t>
            </w:r>
          </w:p>
        </w:tc>
      </w:tr>
      <w:tr w14:paraId="5E0D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F67DB94">
            <w:pPr>
              <w:adjustRightInd w:val="0"/>
              <w:snapToGrid w:val="0"/>
              <w:spacing w:line="600" w:lineRule="exact"/>
              <w:rPr>
                <w:szCs w:val="21"/>
                <w:lang w:val="zh-CN"/>
              </w:rPr>
            </w:pPr>
            <w:r>
              <w:rPr>
                <w:rFonts w:hint="eastAsia"/>
                <w:szCs w:val="21"/>
                <w:lang w:val="zh-CN"/>
              </w:rPr>
              <w:t>1</w:t>
            </w:r>
          </w:p>
        </w:tc>
        <w:tc>
          <w:tcPr>
            <w:tcW w:w="4678" w:type="dxa"/>
            <w:tcBorders>
              <w:left w:val="single" w:color="auto" w:sz="4" w:space="0"/>
              <w:right w:val="single" w:color="auto" w:sz="4" w:space="0"/>
            </w:tcBorders>
          </w:tcPr>
          <w:p w14:paraId="65388D28">
            <w:pPr>
              <w:adjustRightInd w:val="0"/>
              <w:snapToGrid w:val="0"/>
              <w:spacing w:line="600" w:lineRule="exact"/>
              <w:rPr>
                <w:szCs w:val="21"/>
                <w:lang w:val="zh-CN"/>
              </w:rPr>
            </w:pPr>
            <w:r>
              <w:rPr>
                <w:rFonts w:hint="eastAsia"/>
                <w:szCs w:val="21"/>
              </w:rPr>
              <w:t>块菌（松露）生态栽培技术深化研究与示范</w:t>
            </w:r>
          </w:p>
        </w:tc>
        <w:tc>
          <w:tcPr>
            <w:tcW w:w="1559" w:type="dxa"/>
            <w:tcBorders>
              <w:left w:val="single" w:color="auto" w:sz="4" w:space="0"/>
              <w:right w:val="single" w:color="auto" w:sz="4" w:space="0"/>
            </w:tcBorders>
          </w:tcPr>
          <w:p w14:paraId="0FEFFC96">
            <w:pPr>
              <w:adjustRightInd w:val="0"/>
              <w:snapToGrid w:val="0"/>
              <w:spacing w:line="600" w:lineRule="exact"/>
              <w:rPr>
                <w:szCs w:val="21"/>
                <w:lang w:val="zh-CN"/>
              </w:rPr>
            </w:pPr>
            <w:r>
              <w:rPr>
                <w:rFonts w:hint="eastAsia"/>
                <w:szCs w:val="21"/>
                <w:lang w:val="zh-CN"/>
              </w:rPr>
              <w:t>30</w:t>
            </w:r>
          </w:p>
        </w:tc>
        <w:tc>
          <w:tcPr>
            <w:tcW w:w="2127" w:type="dxa"/>
          </w:tcPr>
          <w:p w14:paraId="240F8E58">
            <w:pPr>
              <w:adjustRightInd w:val="0"/>
              <w:snapToGrid w:val="0"/>
              <w:spacing w:line="600" w:lineRule="exact"/>
              <w:rPr>
                <w:szCs w:val="21"/>
                <w:lang w:val="zh-CN"/>
              </w:rPr>
            </w:pPr>
            <w:r>
              <w:rPr>
                <w:rFonts w:hint="eastAsia"/>
                <w:szCs w:val="21"/>
                <w:lang w:val="zh-CN"/>
              </w:rPr>
              <w:t>生态功能区转移支付</w:t>
            </w:r>
          </w:p>
        </w:tc>
      </w:tr>
      <w:tr w14:paraId="05C6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9A94589">
            <w:pPr>
              <w:adjustRightInd w:val="0"/>
              <w:snapToGrid w:val="0"/>
              <w:spacing w:line="600" w:lineRule="exact"/>
              <w:rPr>
                <w:szCs w:val="21"/>
                <w:lang w:val="zh-CN"/>
              </w:rPr>
            </w:pPr>
            <w:r>
              <w:rPr>
                <w:rFonts w:hint="eastAsia"/>
                <w:szCs w:val="21"/>
                <w:lang w:val="zh-CN"/>
              </w:rPr>
              <w:t>2</w:t>
            </w:r>
          </w:p>
        </w:tc>
        <w:tc>
          <w:tcPr>
            <w:tcW w:w="4678" w:type="dxa"/>
            <w:tcBorders>
              <w:left w:val="single" w:color="auto" w:sz="4" w:space="0"/>
              <w:right w:val="single" w:color="auto" w:sz="4" w:space="0"/>
            </w:tcBorders>
          </w:tcPr>
          <w:p w14:paraId="59714409">
            <w:pPr>
              <w:adjustRightInd w:val="0"/>
              <w:snapToGrid w:val="0"/>
              <w:spacing w:line="600" w:lineRule="exact"/>
              <w:rPr>
                <w:szCs w:val="21"/>
                <w:lang w:val="zh-CN"/>
              </w:rPr>
            </w:pPr>
            <w:r>
              <w:rPr>
                <w:rFonts w:hint="eastAsia"/>
                <w:szCs w:val="21"/>
              </w:rPr>
              <w:t>林下中药材高效种植技术推广</w:t>
            </w:r>
          </w:p>
        </w:tc>
        <w:tc>
          <w:tcPr>
            <w:tcW w:w="1559" w:type="dxa"/>
            <w:tcBorders>
              <w:left w:val="single" w:color="auto" w:sz="4" w:space="0"/>
              <w:right w:val="single" w:color="auto" w:sz="4" w:space="0"/>
            </w:tcBorders>
          </w:tcPr>
          <w:p w14:paraId="55B4873F">
            <w:pPr>
              <w:adjustRightInd w:val="0"/>
              <w:snapToGrid w:val="0"/>
              <w:spacing w:line="600" w:lineRule="exact"/>
              <w:rPr>
                <w:szCs w:val="21"/>
                <w:lang w:val="zh-CN"/>
              </w:rPr>
            </w:pPr>
            <w:r>
              <w:rPr>
                <w:rFonts w:hint="eastAsia"/>
                <w:szCs w:val="21"/>
                <w:lang w:val="zh-CN"/>
              </w:rPr>
              <w:t>20</w:t>
            </w:r>
          </w:p>
        </w:tc>
        <w:tc>
          <w:tcPr>
            <w:tcW w:w="2127" w:type="dxa"/>
          </w:tcPr>
          <w:p w14:paraId="4C5FE16D">
            <w:pPr>
              <w:adjustRightInd w:val="0"/>
              <w:snapToGrid w:val="0"/>
              <w:spacing w:line="600" w:lineRule="exact"/>
              <w:rPr>
                <w:szCs w:val="21"/>
                <w:lang w:val="zh-CN"/>
              </w:rPr>
            </w:pPr>
            <w:r>
              <w:rPr>
                <w:rFonts w:hint="eastAsia"/>
                <w:szCs w:val="21"/>
                <w:lang w:val="zh-CN"/>
              </w:rPr>
              <w:t>生态功能区转移支付</w:t>
            </w:r>
          </w:p>
        </w:tc>
      </w:tr>
      <w:tr w14:paraId="0098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97F27B7">
            <w:pPr>
              <w:adjustRightInd w:val="0"/>
              <w:snapToGrid w:val="0"/>
              <w:spacing w:line="600" w:lineRule="exact"/>
              <w:rPr>
                <w:szCs w:val="21"/>
                <w:lang w:val="zh-CN"/>
              </w:rPr>
            </w:pPr>
            <w:r>
              <w:rPr>
                <w:rFonts w:hint="eastAsia"/>
                <w:szCs w:val="21"/>
                <w:lang w:val="zh-CN"/>
              </w:rPr>
              <w:t>3</w:t>
            </w:r>
          </w:p>
        </w:tc>
        <w:tc>
          <w:tcPr>
            <w:tcW w:w="4678" w:type="dxa"/>
            <w:tcBorders>
              <w:left w:val="single" w:color="auto" w:sz="4" w:space="0"/>
              <w:right w:val="single" w:color="auto" w:sz="4" w:space="0"/>
            </w:tcBorders>
          </w:tcPr>
          <w:p w14:paraId="560E6809">
            <w:pPr>
              <w:adjustRightInd w:val="0"/>
              <w:snapToGrid w:val="0"/>
              <w:spacing w:line="600" w:lineRule="exact"/>
              <w:rPr>
                <w:szCs w:val="21"/>
                <w:lang w:val="zh-CN"/>
              </w:rPr>
            </w:pPr>
            <w:r>
              <w:rPr>
                <w:rFonts w:hint="eastAsia"/>
                <w:szCs w:val="21"/>
              </w:rPr>
              <w:t>核桃良种选育（2025年）</w:t>
            </w:r>
          </w:p>
        </w:tc>
        <w:tc>
          <w:tcPr>
            <w:tcW w:w="1559" w:type="dxa"/>
            <w:tcBorders>
              <w:left w:val="single" w:color="auto" w:sz="4" w:space="0"/>
              <w:right w:val="single" w:color="auto" w:sz="4" w:space="0"/>
            </w:tcBorders>
          </w:tcPr>
          <w:p w14:paraId="6338F393">
            <w:pPr>
              <w:adjustRightInd w:val="0"/>
              <w:snapToGrid w:val="0"/>
              <w:spacing w:line="600" w:lineRule="exact"/>
              <w:rPr>
                <w:szCs w:val="21"/>
                <w:lang w:val="zh-CN"/>
              </w:rPr>
            </w:pPr>
            <w:r>
              <w:rPr>
                <w:rFonts w:hint="eastAsia"/>
                <w:szCs w:val="21"/>
                <w:lang w:val="zh-CN"/>
              </w:rPr>
              <w:t>20</w:t>
            </w:r>
          </w:p>
        </w:tc>
        <w:tc>
          <w:tcPr>
            <w:tcW w:w="2127" w:type="dxa"/>
          </w:tcPr>
          <w:p w14:paraId="0E92A064">
            <w:pPr>
              <w:adjustRightInd w:val="0"/>
              <w:snapToGrid w:val="0"/>
              <w:spacing w:line="600" w:lineRule="exact"/>
              <w:rPr>
                <w:szCs w:val="21"/>
                <w:lang w:val="zh-CN"/>
              </w:rPr>
            </w:pPr>
            <w:r>
              <w:rPr>
                <w:rFonts w:hint="eastAsia"/>
                <w:szCs w:val="21"/>
                <w:lang w:val="zh-CN"/>
              </w:rPr>
              <w:t>生态功能区转移支付</w:t>
            </w:r>
          </w:p>
        </w:tc>
      </w:tr>
      <w:tr w14:paraId="0BE8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97AB224">
            <w:pPr>
              <w:adjustRightInd w:val="0"/>
              <w:snapToGrid w:val="0"/>
              <w:spacing w:line="600" w:lineRule="exact"/>
              <w:rPr>
                <w:szCs w:val="21"/>
                <w:lang w:val="zh-CN"/>
              </w:rPr>
            </w:pPr>
            <w:r>
              <w:rPr>
                <w:rFonts w:hint="eastAsia"/>
                <w:szCs w:val="21"/>
                <w:lang w:val="zh-CN"/>
              </w:rPr>
              <w:t>4</w:t>
            </w:r>
          </w:p>
        </w:tc>
        <w:tc>
          <w:tcPr>
            <w:tcW w:w="4678" w:type="dxa"/>
            <w:tcBorders>
              <w:left w:val="single" w:color="auto" w:sz="4" w:space="0"/>
              <w:right w:val="single" w:color="auto" w:sz="4" w:space="0"/>
            </w:tcBorders>
          </w:tcPr>
          <w:p w14:paraId="1508A965">
            <w:pPr>
              <w:adjustRightInd w:val="0"/>
              <w:snapToGrid w:val="0"/>
              <w:spacing w:line="600" w:lineRule="exact"/>
              <w:rPr>
                <w:szCs w:val="21"/>
                <w:lang w:val="zh-CN"/>
              </w:rPr>
            </w:pPr>
            <w:r>
              <w:rPr>
                <w:rFonts w:hint="eastAsia"/>
                <w:szCs w:val="21"/>
              </w:rPr>
              <w:t>板栗主要病虫害栗实象综合防控技术研究及示范</w:t>
            </w:r>
          </w:p>
        </w:tc>
        <w:tc>
          <w:tcPr>
            <w:tcW w:w="1559" w:type="dxa"/>
            <w:tcBorders>
              <w:left w:val="single" w:color="auto" w:sz="4" w:space="0"/>
              <w:right w:val="single" w:color="auto" w:sz="4" w:space="0"/>
            </w:tcBorders>
          </w:tcPr>
          <w:p w14:paraId="3C34B1BD">
            <w:pPr>
              <w:adjustRightInd w:val="0"/>
              <w:snapToGrid w:val="0"/>
              <w:spacing w:line="600" w:lineRule="exact"/>
              <w:rPr>
                <w:szCs w:val="21"/>
                <w:lang w:val="zh-CN"/>
              </w:rPr>
            </w:pPr>
            <w:r>
              <w:rPr>
                <w:rFonts w:hint="eastAsia"/>
                <w:szCs w:val="21"/>
                <w:lang w:val="zh-CN"/>
              </w:rPr>
              <w:t>20</w:t>
            </w:r>
          </w:p>
        </w:tc>
        <w:tc>
          <w:tcPr>
            <w:tcW w:w="2127" w:type="dxa"/>
          </w:tcPr>
          <w:p w14:paraId="01D75C00">
            <w:pPr>
              <w:adjustRightInd w:val="0"/>
              <w:snapToGrid w:val="0"/>
              <w:spacing w:line="600" w:lineRule="exact"/>
              <w:rPr>
                <w:szCs w:val="21"/>
                <w:lang w:val="zh-CN"/>
              </w:rPr>
            </w:pPr>
            <w:r>
              <w:rPr>
                <w:rFonts w:hint="eastAsia"/>
                <w:szCs w:val="21"/>
                <w:lang w:val="zh-CN"/>
              </w:rPr>
              <w:t>生态功能区转移支付</w:t>
            </w:r>
          </w:p>
        </w:tc>
      </w:tr>
      <w:tr w14:paraId="3C0F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6DA96E0">
            <w:pPr>
              <w:adjustRightInd w:val="0"/>
              <w:snapToGrid w:val="0"/>
              <w:spacing w:line="600" w:lineRule="exact"/>
              <w:rPr>
                <w:szCs w:val="21"/>
                <w:lang w:val="zh-CN"/>
              </w:rPr>
            </w:pPr>
            <w:r>
              <w:rPr>
                <w:rFonts w:hint="eastAsia"/>
                <w:szCs w:val="21"/>
                <w:lang w:val="zh-CN"/>
              </w:rPr>
              <w:t>5</w:t>
            </w:r>
          </w:p>
        </w:tc>
        <w:tc>
          <w:tcPr>
            <w:tcW w:w="4678" w:type="dxa"/>
            <w:tcBorders>
              <w:left w:val="single" w:color="auto" w:sz="4" w:space="0"/>
              <w:right w:val="single" w:color="auto" w:sz="4" w:space="0"/>
            </w:tcBorders>
          </w:tcPr>
          <w:p w14:paraId="7B2044C9">
            <w:pPr>
              <w:adjustRightInd w:val="0"/>
              <w:snapToGrid w:val="0"/>
              <w:spacing w:line="600" w:lineRule="exact"/>
              <w:rPr>
                <w:szCs w:val="21"/>
                <w:lang w:val="zh-CN"/>
              </w:rPr>
            </w:pPr>
            <w:r>
              <w:rPr>
                <w:rFonts w:hint="eastAsia"/>
                <w:szCs w:val="21"/>
              </w:rPr>
              <w:t>林下魔芋种植技术推广</w:t>
            </w:r>
          </w:p>
        </w:tc>
        <w:tc>
          <w:tcPr>
            <w:tcW w:w="1559" w:type="dxa"/>
            <w:tcBorders>
              <w:left w:val="single" w:color="auto" w:sz="4" w:space="0"/>
              <w:right w:val="single" w:color="auto" w:sz="4" w:space="0"/>
            </w:tcBorders>
          </w:tcPr>
          <w:p w14:paraId="42EEAEB3">
            <w:pPr>
              <w:adjustRightInd w:val="0"/>
              <w:snapToGrid w:val="0"/>
              <w:spacing w:line="600" w:lineRule="exact"/>
              <w:rPr>
                <w:szCs w:val="21"/>
                <w:lang w:val="zh-CN"/>
              </w:rPr>
            </w:pPr>
            <w:r>
              <w:rPr>
                <w:rFonts w:hint="eastAsia"/>
                <w:szCs w:val="21"/>
                <w:lang w:val="zh-CN"/>
              </w:rPr>
              <w:t>10</w:t>
            </w:r>
          </w:p>
        </w:tc>
        <w:tc>
          <w:tcPr>
            <w:tcW w:w="2127" w:type="dxa"/>
          </w:tcPr>
          <w:p w14:paraId="7F93A254">
            <w:pPr>
              <w:adjustRightInd w:val="0"/>
              <w:snapToGrid w:val="0"/>
              <w:spacing w:line="600" w:lineRule="exact"/>
              <w:rPr>
                <w:szCs w:val="21"/>
                <w:lang w:val="zh-CN"/>
              </w:rPr>
            </w:pPr>
            <w:r>
              <w:rPr>
                <w:rFonts w:hint="eastAsia"/>
                <w:szCs w:val="21"/>
                <w:lang w:val="zh-CN"/>
              </w:rPr>
              <w:t>生态功能区转移支付</w:t>
            </w:r>
          </w:p>
        </w:tc>
      </w:tr>
      <w:tr w14:paraId="68A0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A6B27E4">
            <w:pPr>
              <w:adjustRightInd w:val="0"/>
              <w:snapToGrid w:val="0"/>
              <w:spacing w:line="600" w:lineRule="exact"/>
              <w:rPr>
                <w:szCs w:val="21"/>
                <w:lang w:val="zh-CN"/>
              </w:rPr>
            </w:pPr>
            <w:r>
              <w:rPr>
                <w:rFonts w:hint="eastAsia"/>
                <w:szCs w:val="21"/>
                <w:lang w:val="zh-CN"/>
              </w:rPr>
              <w:t>6</w:t>
            </w:r>
          </w:p>
        </w:tc>
        <w:tc>
          <w:tcPr>
            <w:tcW w:w="4678" w:type="dxa"/>
            <w:tcBorders>
              <w:left w:val="single" w:color="auto" w:sz="4" w:space="0"/>
              <w:right w:val="single" w:color="auto" w:sz="4" w:space="0"/>
            </w:tcBorders>
          </w:tcPr>
          <w:p w14:paraId="7231959C">
            <w:pPr>
              <w:adjustRightInd w:val="0"/>
              <w:snapToGrid w:val="0"/>
              <w:spacing w:line="600" w:lineRule="exact"/>
              <w:rPr>
                <w:szCs w:val="21"/>
                <w:lang w:val="zh-CN"/>
              </w:rPr>
            </w:pPr>
            <w:r>
              <w:rPr>
                <w:rFonts w:hint="eastAsia"/>
                <w:szCs w:val="21"/>
              </w:rPr>
              <w:t>椰枣引种栽培技术研究</w:t>
            </w:r>
          </w:p>
        </w:tc>
        <w:tc>
          <w:tcPr>
            <w:tcW w:w="1559" w:type="dxa"/>
            <w:tcBorders>
              <w:left w:val="single" w:color="auto" w:sz="4" w:space="0"/>
              <w:right w:val="single" w:color="auto" w:sz="4" w:space="0"/>
            </w:tcBorders>
          </w:tcPr>
          <w:p w14:paraId="2CCE7975">
            <w:pPr>
              <w:adjustRightInd w:val="0"/>
              <w:snapToGrid w:val="0"/>
              <w:spacing w:line="600" w:lineRule="exact"/>
              <w:rPr>
                <w:szCs w:val="21"/>
                <w:lang w:val="zh-CN"/>
              </w:rPr>
            </w:pPr>
            <w:r>
              <w:rPr>
                <w:rFonts w:hint="eastAsia"/>
                <w:szCs w:val="21"/>
                <w:lang w:val="zh-CN"/>
              </w:rPr>
              <w:t>10</w:t>
            </w:r>
          </w:p>
        </w:tc>
        <w:tc>
          <w:tcPr>
            <w:tcW w:w="2127" w:type="dxa"/>
          </w:tcPr>
          <w:p w14:paraId="25D28772">
            <w:pPr>
              <w:adjustRightInd w:val="0"/>
              <w:snapToGrid w:val="0"/>
              <w:spacing w:line="600" w:lineRule="exact"/>
              <w:rPr>
                <w:szCs w:val="21"/>
                <w:lang w:val="zh-CN"/>
              </w:rPr>
            </w:pPr>
            <w:r>
              <w:rPr>
                <w:rFonts w:hint="eastAsia"/>
                <w:szCs w:val="21"/>
                <w:lang w:val="zh-CN"/>
              </w:rPr>
              <w:t>生态功能区转移支付</w:t>
            </w:r>
          </w:p>
        </w:tc>
      </w:tr>
      <w:tr w14:paraId="60CA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9CB7A46">
            <w:pPr>
              <w:adjustRightInd w:val="0"/>
              <w:snapToGrid w:val="0"/>
              <w:spacing w:line="600" w:lineRule="exact"/>
              <w:rPr>
                <w:szCs w:val="21"/>
                <w:lang w:val="zh-CN"/>
              </w:rPr>
            </w:pPr>
            <w:r>
              <w:rPr>
                <w:rFonts w:hint="eastAsia"/>
                <w:szCs w:val="21"/>
                <w:lang w:val="zh-CN"/>
              </w:rPr>
              <w:t>合计</w:t>
            </w:r>
          </w:p>
        </w:tc>
        <w:tc>
          <w:tcPr>
            <w:tcW w:w="4678" w:type="dxa"/>
            <w:tcBorders>
              <w:left w:val="single" w:color="auto" w:sz="4" w:space="0"/>
              <w:right w:val="single" w:color="auto" w:sz="4" w:space="0"/>
            </w:tcBorders>
          </w:tcPr>
          <w:p w14:paraId="0C895FA5">
            <w:pPr>
              <w:adjustRightInd w:val="0"/>
              <w:snapToGrid w:val="0"/>
              <w:spacing w:line="600" w:lineRule="exact"/>
              <w:rPr>
                <w:szCs w:val="21"/>
                <w:lang w:val="zh-CN"/>
              </w:rPr>
            </w:pPr>
          </w:p>
        </w:tc>
        <w:tc>
          <w:tcPr>
            <w:tcW w:w="1559" w:type="dxa"/>
            <w:tcBorders>
              <w:left w:val="single" w:color="auto" w:sz="4" w:space="0"/>
              <w:right w:val="single" w:color="auto" w:sz="4" w:space="0"/>
            </w:tcBorders>
          </w:tcPr>
          <w:p w14:paraId="6EBF4BE9">
            <w:pPr>
              <w:adjustRightInd w:val="0"/>
              <w:snapToGrid w:val="0"/>
              <w:spacing w:line="600" w:lineRule="exact"/>
              <w:rPr>
                <w:szCs w:val="21"/>
                <w:lang w:val="zh-CN"/>
              </w:rPr>
            </w:pPr>
            <w:r>
              <w:rPr>
                <w:rFonts w:hint="eastAsia"/>
                <w:szCs w:val="21"/>
                <w:lang w:val="zh-CN"/>
              </w:rPr>
              <w:t>110</w:t>
            </w:r>
          </w:p>
        </w:tc>
        <w:tc>
          <w:tcPr>
            <w:tcW w:w="2127" w:type="dxa"/>
          </w:tcPr>
          <w:p w14:paraId="2FCFAD56">
            <w:pPr>
              <w:adjustRightInd w:val="0"/>
              <w:snapToGrid w:val="0"/>
              <w:spacing w:line="600" w:lineRule="exact"/>
              <w:rPr>
                <w:szCs w:val="21"/>
                <w:lang w:val="zh-CN"/>
              </w:rPr>
            </w:pPr>
          </w:p>
        </w:tc>
      </w:tr>
    </w:tbl>
    <w:p w14:paraId="10681D58">
      <w:pPr>
        <w:spacing w:line="578" w:lineRule="exact"/>
        <w:ind w:firstLine="640"/>
        <w:rPr>
          <w:rFonts w:eastAsia="仿宋_GB2312" w:cs="仿宋_GB2312"/>
          <w:b/>
          <w:kern w:val="0"/>
          <w:sz w:val="32"/>
          <w:szCs w:val="32"/>
        </w:rPr>
      </w:pPr>
      <w:r>
        <w:rPr>
          <w:rFonts w:eastAsia="仿宋_GB2312" w:cs="仿宋_GB2312"/>
          <w:b/>
          <w:kern w:val="0"/>
          <w:sz w:val="32"/>
          <w:szCs w:val="32"/>
        </w:rPr>
        <w:t>2．资金到位。</w:t>
      </w:r>
    </w:p>
    <w:p w14:paraId="261461E4">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项目资金于2025年6月足额到位。</w:t>
      </w:r>
    </w:p>
    <w:p w14:paraId="16998D7D">
      <w:pPr>
        <w:spacing w:line="578" w:lineRule="exact"/>
        <w:ind w:firstLine="640"/>
        <w:rPr>
          <w:rFonts w:eastAsia="仿宋_GB2312" w:cs="仿宋_GB2312"/>
          <w:b/>
          <w:kern w:val="0"/>
          <w:sz w:val="32"/>
          <w:szCs w:val="32"/>
        </w:rPr>
      </w:pPr>
      <w:r>
        <w:rPr>
          <w:rFonts w:eastAsia="仿宋_GB2312" w:cs="仿宋_GB2312"/>
          <w:b/>
          <w:kern w:val="0"/>
          <w:sz w:val="32"/>
          <w:szCs w:val="32"/>
        </w:rPr>
        <w:t>3．资金使用。</w:t>
      </w:r>
    </w:p>
    <w:p w14:paraId="549E0AE4">
      <w:pPr>
        <w:spacing w:line="578" w:lineRule="exact"/>
        <w:ind w:firstLine="640"/>
        <w:rPr>
          <w:rFonts w:eastAsia="仿宋_GB2312" w:cs="仿宋_GB2312"/>
          <w:kern w:val="0"/>
          <w:sz w:val="32"/>
          <w:szCs w:val="32"/>
        </w:rPr>
      </w:pPr>
      <w:r>
        <w:rPr>
          <w:rFonts w:eastAsia="仿宋_GB2312" w:cs="仿宋_GB2312"/>
          <w:kern w:val="0"/>
          <w:sz w:val="32"/>
          <w:szCs w:val="32"/>
        </w:rPr>
        <w:t>截至</w:t>
      </w:r>
      <w:r>
        <w:rPr>
          <w:rFonts w:hint="eastAsia" w:eastAsia="仿宋_GB2312" w:cs="仿宋_GB2312"/>
          <w:kern w:val="0"/>
          <w:sz w:val="32"/>
          <w:szCs w:val="32"/>
        </w:rPr>
        <w:t>2025年底，项目资金使用85.29元，资金使用率77.54%。资金使用安全、规范及有效，资金支付的范围严格围绕项目的实施方案进行，没有发现超范围支出；资金支付标准合理，支付进度较及时，支付依据合规合法，符合预算。由于本项目实施时间是2025年3月到2026年7月，因此有部分项目指标在2026年7月前完成，剩余的24.71万元留作2026年7月前使用。</w:t>
      </w:r>
    </w:p>
    <w:p w14:paraId="1A1FCEB0">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7AFCED6B">
      <w:pPr>
        <w:spacing w:line="578" w:lineRule="exact"/>
        <w:ind w:firstLine="640"/>
        <w:rPr>
          <w:rFonts w:eastAsia="仿宋_GB2312" w:cs="仿宋_GB2312"/>
          <w:kern w:val="0"/>
          <w:sz w:val="32"/>
          <w:szCs w:val="32"/>
        </w:rPr>
      </w:pPr>
      <w:r>
        <w:rPr>
          <w:rFonts w:hint="eastAsia" w:eastAsia="仿宋_GB2312" w:cs="仿宋_GB2312"/>
          <w:kern w:val="0"/>
          <w:sz w:val="32"/>
          <w:szCs w:val="32"/>
        </w:rPr>
        <w:t>本项目</w:t>
      </w:r>
      <w:r>
        <w:rPr>
          <w:rFonts w:eastAsia="仿宋_GB2312" w:cs="仿宋_GB2312"/>
          <w:kern w:val="0"/>
          <w:sz w:val="32"/>
          <w:szCs w:val="32"/>
        </w:rPr>
        <w:t>资金</w:t>
      </w:r>
      <w:r>
        <w:rPr>
          <w:rFonts w:hint="eastAsia" w:eastAsia="仿宋_GB2312" w:cs="仿宋_GB2312"/>
          <w:kern w:val="0"/>
          <w:sz w:val="32"/>
          <w:szCs w:val="32"/>
        </w:rPr>
        <w:t>在使用过程中，严格按照国家、省、市相关资金的使用要求进行开支，每一笔开支均实行三级监管（项目组—财务—分管副院长），物资采购严格按照攀枝花市农林院《攀枝花市农林科学研究院非政府采购类项目采购管理办法》进行审批，</w:t>
      </w:r>
      <w:r>
        <w:rPr>
          <w:rFonts w:eastAsia="仿宋_GB2312" w:cs="仿宋_GB2312"/>
          <w:kern w:val="0"/>
          <w:sz w:val="32"/>
          <w:szCs w:val="32"/>
        </w:rPr>
        <w:t>项目经费根据实际情况进行了预算科目的调整，手续完整、程序合规</w:t>
      </w:r>
      <w:r>
        <w:rPr>
          <w:rFonts w:hint="eastAsia" w:eastAsia="仿宋_GB2312" w:cs="仿宋_GB2312"/>
          <w:kern w:val="0"/>
          <w:sz w:val="32"/>
          <w:szCs w:val="32"/>
        </w:rPr>
        <w:t>。</w:t>
      </w:r>
      <w:r>
        <w:rPr>
          <w:rFonts w:eastAsia="仿宋_GB2312" w:cs="仿宋_GB2312"/>
          <w:kern w:val="0"/>
          <w:sz w:val="32"/>
          <w:szCs w:val="32"/>
        </w:rPr>
        <w:t>综上所述</w:t>
      </w:r>
      <w:r>
        <w:rPr>
          <w:rFonts w:hint="eastAsia" w:eastAsia="仿宋_GB2312" w:cs="仿宋_GB2312"/>
          <w:kern w:val="0"/>
          <w:sz w:val="32"/>
          <w:szCs w:val="32"/>
        </w:rPr>
        <w:t>，项目资金的使用安全、规范、有效，资金支付范围、支付标准、支付进度、支付依据等合规合法</w:t>
      </w:r>
      <w:r>
        <w:rPr>
          <w:rFonts w:eastAsia="仿宋_GB2312" w:cs="仿宋_GB2312"/>
          <w:kern w:val="0"/>
          <w:sz w:val="32"/>
          <w:szCs w:val="32"/>
        </w:rPr>
        <w:t>。</w:t>
      </w:r>
    </w:p>
    <w:p w14:paraId="77937F03">
      <w:pPr>
        <w:pStyle w:val="39"/>
        <w:spacing w:before="0" w:beforeAutospacing="0" w:after="0" w:afterAutospacing="0" w:line="600" w:lineRule="exact"/>
        <w:ind w:firstLine="720"/>
        <w:jc w:val="both"/>
        <w:rPr>
          <w:rFonts w:eastAsia="仿宋_GB2312" w:cs="仿宋_GB2312"/>
          <w:sz w:val="32"/>
          <w:szCs w:val="32"/>
        </w:rPr>
      </w:pPr>
      <w:r>
        <w:rPr>
          <w:rFonts w:ascii="黑体" w:hAnsi="黑体" w:eastAsia="黑体"/>
          <w:color w:val="000000"/>
          <w:sz w:val="32"/>
          <w:szCs w:val="32"/>
        </w:rPr>
        <w:t>三、项目实施及管理情况</w:t>
      </w:r>
    </w:p>
    <w:p w14:paraId="30C499E5">
      <w:pPr>
        <w:spacing w:line="578" w:lineRule="exact"/>
        <w:ind w:firstLine="640"/>
        <w:rPr>
          <w:rFonts w:eastAsia="仿宋_GB2312" w:cs="仿宋_GB2312"/>
          <w:b/>
          <w:kern w:val="0"/>
          <w:sz w:val="32"/>
          <w:szCs w:val="32"/>
        </w:rPr>
      </w:pPr>
      <w:r>
        <w:rPr>
          <w:rFonts w:eastAsia="仿宋_GB2312" w:cs="仿宋_GB2312"/>
          <w:b/>
          <w:kern w:val="0"/>
          <w:sz w:val="32"/>
          <w:szCs w:val="32"/>
        </w:rPr>
        <w:t>（一）项目组织架构及实施流程。</w:t>
      </w:r>
    </w:p>
    <w:p w14:paraId="12A9E2CD">
      <w:pPr>
        <w:spacing w:line="578" w:lineRule="exact"/>
        <w:ind w:firstLine="640"/>
        <w:rPr>
          <w:rFonts w:eastAsia="仿宋_GB2312" w:cs="仿宋_GB2312"/>
          <w:kern w:val="0"/>
          <w:sz w:val="32"/>
          <w:szCs w:val="32"/>
        </w:rPr>
      </w:pPr>
      <w:r>
        <w:rPr>
          <w:rFonts w:hint="eastAsia" w:eastAsia="仿宋_GB2312" w:cs="仿宋_GB2312"/>
          <w:kern w:val="0"/>
          <w:sz w:val="32"/>
          <w:szCs w:val="32"/>
        </w:rPr>
        <w:t>本项目实行项目负责人制，项目负责人在组建项目组后，项目组根据目标任务制定项目实施方案，项目严格按照实施方案进行。</w:t>
      </w:r>
    </w:p>
    <w:p w14:paraId="11FA9F72">
      <w:pPr>
        <w:spacing w:line="578" w:lineRule="exact"/>
        <w:ind w:firstLine="640"/>
        <w:rPr>
          <w:rFonts w:eastAsia="仿宋_GB2312" w:cs="仿宋_GB2312"/>
          <w:kern w:val="0"/>
          <w:sz w:val="32"/>
          <w:szCs w:val="32"/>
        </w:rPr>
      </w:pPr>
      <w:r>
        <w:rPr>
          <w:rFonts w:eastAsia="仿宋_GB2312" w:cs="仿宋_GB2312"/>
          <w:b/>
          <w:kern w:val="0"/>
          <w:sz w:val="32"/>
          <w:szCs w:val="32"/>
        </w:rPr>
        <w:t>（二）项目管理情况。</w:t>
      </w:r>
    </w:p>
    <w:p w14:paraId="561AACC5">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院财务室负责对项目经费开支情况进行审核。</w:t>
      </w:r>
    </w:p>
    <w:p w14:paraId="1B16308D">
      <w:pPr>
        <w:spacing w:line="578" w:lineRule="exact"/>
        <w:ind w:firstLine="640"/>
        <w:rPr>
          <w:rFonts w:eastAsia="仿宋_GB2312" w:cs="仿宋_GB2312"/>
          <w:kern w:val="0"/>
          <w:sz w:val="32"/>
          <w:szCs w:val="32"/>
        </w:rPr>
      </w:pPr>
      <w:r>
        <w:rPr>
          <w:rFonts w:eastAsia="仿宋_GB2312" w:cs="仿宋_GB2312"/>
          <w:b/>
          <w:kern w:val="0"/>
          <w:sz w:val="32"/>
          <w:szCs w:val="32"/>
        </w:rPr>
        <w:t>（三）项目监管情况。</w:t>
      </w:r>
    </w:p>
    <w:p w14:paraId="4D32AC69">
      <w:pPr>
        <w:spacing w:line="578" w:lineRule="exact"/>
        <w:ind w:firstLine="640"/>
        <w:rPr>
          <w:rFonts w:eastAsia="仿宋_GB2312" w:cs="仿宋_GB2312"/>
          <w:kern w:val="0"/>
          <w:sz w:val="32"/>
          <w:szCs w:val="32"/>
        </w:rPr>
      </w:pPr>
      <w:r>
        <w:rPr>
          <w:rFonts w:hint="eastAsia" w:eastAsia="仿宋_GB2312" w:cs="仿宋_GB2312"/>
          <w:kern w:val="0"/>
          <w:sz w:val="32"/>
          <w:szCs w:val="32"/>
        </w:rPr>
        <w:t>院学术委员会负责对项目实施情况进行抽查</w:t>
      </w:r>
      <w:r>
        <w:rPr>
          <w:rFonts w:eastAsia="仿宋_GB2312" w:cs="仿宋_GB2312"/>
          <w:kern w:val="0"/>
          <w:sz w:val="32"/>
          <w:szCs w:val="32"/>
        </w:rPr>
        <w:t>；项目承担单位科技管理科对项目申报、实施、验收等进行全程监督和管理</w:t>
      </w:r>
      <w:r>
        <w:rPr>
          <w:rFonts w:hint="eastAsia" w:eastAsia="仿宋_GB2312" w:cs="仿宋_GB2312"/>
          <w:kern w:val="0"/>
          <w:sz w:val="32"/>
          <w:szCs w:val="32"/>
        </w:rPr>
        <w:t>。本项目自实施以来，每个环节均有严格的制度办法规范工作，并在严格的监督下开展，未出现工作失误等情况。</w:t>
      </w:r>
    </w:p>
    <w:p w14:paraId="47D31637">
      <w:pPr>
        <w:pStyle w:val="39"/>
        <w:spacing w:before="0" w:beforeAutospacing="0" w:after="0" w:afterAutospacing="0" w:line="600" w:lineRule="exact"/>
        <w:ind w:firstLine="720"/>
        <w:jc w:val="both"/>
        <w:rPr>
          <w:rFonts w:eastAsia="仿宋_GB2312" w:cs="仿宋_GB2312"/>
          <w:sz w:val="32"/>
          <w:szCs w:val="32"/>
        </w:rPr>
      </w:pPr>
      <w:r>
        <w:rPr>
          <w:rFonts w:ascii="黑体" w:hAnsi="黑体" w:eastAsia="黑体"/>
          <w:color w:val="000000"/>
          <w:sz w:val="32"/>
          <w:szCs w:val="32"/>
        </w:rPr>
        <w:t>四、项目绩效情况</w:t>
      </w:r>
    </w:p>
    <w:p w14:paraId="547C5825">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628ED271">
      <w:pPr>
        <w:spacing w:line="578" w:lineRule="exact"/>
        <w:ind w:firstLine="640"/>
        <w:rPr>
          <w:rFonts w:eastAsia="仿宋_GB2312" w:cs="仿宋_GB2312"/>
          <w:kern w:val="0"/>
          <w:sz w:val="32"/>
          <w:szCs w:val="32"/>
        </w:rPr>
      </w:pPr>
      <w:r>
        <w:rPr>
          <w:rFonts w:hint="eastAsia" w:eastAsia="仿宋_GB2312" w:cs="仿宋_GB2312"/>
          <w:kern w:val="0"/>
          <w:sz w:val="32"/>
          <w:szCs w:val="32"/>
        </w:rPr>
        <w:t>根据项目计划，本项目建立了示范基地4个，示范面积80亩，技术指导服务面积2000亩，引进、示范、嫁接、培育新品种18个，块菌产出效益200元/亩，魔芋示范品种亩产1500公斤。项目支出资金85.29万元，结余24.71万元。项目进度按照计划进行，项目执行情况如下。</w:t>
      </w:r>
    </w:p>
    <w:p w14:paraId="2E36FDD7">
      <w:pPr>
        <w:spacing w:line="578" w:lineRule="exact"/>
        <w:ind w:firstLine="640"/>
        <w:rPr>
          <w:rFonts w:eastAsia="仿宋_GB2312" w:cs="仿宋_GB2312"/>
          <w:kern w:val="0"/>
          <w:sz w:val="32"/>
          <w:szCs w:val="32"/>
        </w:rPr>
      </w:pPr>
      <w:r>
        <w:rPr>
          <w:rFonts w:eastAsia="仿宋_GB2312" w:cs="仿宋_GB2312"/>
          <w:kern w:val="0"/>
          <w:sz w:val="32"/>
          <w:szCs w:val="32"/>
        </w:rPr>
        <w:t>1．</w:t>
      </w:r>
      <w:r>
        <w:rPr>
          <w:rFonts w:hint="eastAsia" w:eastAsia="仿宋_GB2312" w:cs="仿宋_GB2312"/>
          <w:kern w:val="0"/>
          <w:sz w:val="32"/>
          <w:szCs w:val="32"/>
        </w:rPr>
        <w:t>块菌（松露）生态栽培技术深化研究与示范</w:t>
      </w:r>
    </w:p>
    <w:p w14:paraId="193F9E3A">
      <w:pPr>
        <w:spacing w:line="578" w:lineRule="exact"/>
        <w:ind w:firstLine="640"/>
        <w:rPr>
          <w:rFonts w:eastAsia="仿宋_GB2312" w:cs="仿宋_GB2312"/>
          <w:kern w:val="0"/>
          <w:sz w:val="32"/>
          <w:szCs w:val="32"/>
        </w:rPr>
      </w:pPr>
      <w:r>
        <w:rPr>
          <w:rFonts w:hint="eastAsia" w:eastAsia="仿宋_GB2312" w:cs="仿宋_GB2312"/>
          <w:kern w:val="0"/>
          <w:sz w:val="32"/>
          <w:szCs w:val="32"/>
        </w:rPr>
        <w:t>开展块菌初产提升水分管理、土壤分析、病虫害防治等技术研究，初步得出块菌栽培土壤、气候温湿度参数，病虫害种类和防治措施；联合新西兰块菌专家引进意大利白块菌和波氏块菌，开展 2个块菌菌根苗培育接种量、树种的筛选试验，结果正统计中；培育中华黑块菌、夏块菌、攀枝花白块菌和波氏块菌4个品种的菌根苗3000余株，中华黑块菌菌根感染率大于86%，其他块菌感染率正在统计，在格萨拉新建块菌栽培示范基地10亩，示范块菌品种1个，块菌树种2个，在平地和格萨拉开展10亩块菌初产园提升示范，正在测产，数据还在统计中。</w:t>
      </w:r>
    </w:p>
    <w:p w14:paraId="793B5EA4">
      <w:pPr>
        <w:spacing w:line="578" w:lineRule="exact"/>
        <w:ind w:firstLine="640"/>
        <w:rPr>
          <w:rFonts w:eastAsia="仿宋_GB2312" w:cs="仿宋_GB2312"/>
          <w:kern w:val="0"/>
          <w:sz w:val="32"/>
          <w:szCs w:val="32"/>
        </w:rPr>
      </w:pPr>
      <w:bookmarkStart w:id="84" w:name="OLE_LINK7"/>
      <w:r>
        <w:rPr>
          <w:rFonts w:hint="eastAsia" w:eastAsia="仿宋_GB2312" w:cs="仿宋_GB2312"/>
          <w:kern w:val="0"/>
          <w:sz w:val="32"/>
          <w:szCs w:val="32"/>
        </w:rPr>
        <w:t>2</w:t>
      </w:r>
      <w:r>
        <w:rPr>
          <w:rFonts w:eastAsia="仿宋_GB2312" w:cs="仿宋_GB2312"/>
          <w:kern w:val="0"/>
          <w:sz w:val="32"/>
          <w:szCs w:val="32"/>
        </w:rPr>
        <w:t>．</w:t>
      </w:r>
      <w:r>
        <w:rPr>
          <w:rFonts w:hint="eastAsia" w:eastAsia="仿宋_GB2312" w:cs="仿宋_GB2312"/>
          <w:kern w:val="0"/>
          <w:sz w:val="32"/>
          <w:szCs w:val="32"/>
        </w:rPr>
        <w:t>林下中药材高效种植技术推广</w:t>
      </w:r>
      <w:bookmarkEnd w:id="84"/>
    </w:p>
    <w:p w14:paraId="5DCC3DB5">
      <w:pPr>
        <w:spacing w:line="578" w:lineRule="exact"/>
        <w:ind w:firstLine="640"/>
        <w:rPr>
          <w:rFonts w:eastAsia="仿宋_GB2312" w:cs="仿宋_GB2312"/>
          <w:kern w:val="0"/>
          <w:sz w:val="32"/>
          <w:szCs w:val="32"/>
        </w:rPr>
      </w:pPr>
      <w:r>
        <w:rPr>
          <w:rFonts w:hint="eastAsia" w:eastAsia="仿宋_GB2312" w:cs="仿宋_GB2312"/>
          <w:kern w:val="0"/>
          <w:sz w:val="32"/>
          <w:szCs w:val="32"/>
        </w:rPr>
        <w:t>完成川续断种植技术示范面积30亩，活血丹种植示范面积30亩。完成林下白及种植技术示范面积5亩；完成何首乌良种“攀首乌1号”采穗圃建设，定植何首乌1号良种苗1000株；编制《川产道地药材—续断种植技术手册》、《川产道地药材—何首乌种植技术手册》、《攀枝花当归种植技术手册》3套中药材种植技术手册。推广川续断、何首乌、白及、活血丹等中药材种植技术，开展林下中药材种植技术培训8期154人次；开展川续断、当归、白及、何首乌、天冬、活血丹等中药材种植技术服务覆盖面积超过1800亩。</w:t>
      </w:r>
    </w:p>
    <w:p w14:paraId="2C9536B4">
      <w:pPr>
        <w:spacing w:line="578" w:lineRule="exact"/>
        <w:ind w:firstLine="640"/>
        <w:rPr>
          <w:rFonts w:eastAsia="仿宋_GB2312" w:cs="仿宋_GB2312"/>
          <w:kern w:val="0"/>
          <w:sz w:val="32"/>
          <w:szCs w:val="32"/>
        </w:rPr>
      </w:pPr>
      <w:r>
        <w:rPr>
          <w:rFonts w:hint="eastAsia" w:eastAsia="仿宋_GB2312" w:cs="仿宋_GB2312"/>
          <w:kern w:val="0"/>
          <w:sz w:val="32"/>
          <w:szCs w:val="32"/>
        </w:rPr>
        <w:t>3</w:t>
      </w:r>
      <w:r>
        <w:rPr>
          <w:rFonts w:eastAsia="仿宋_GB2312" w:cs="仿宋_GB2312"/>
          <w:kern w:val="0"/>
          <w:sz w:val="32"/>
          <w:szCs w:val="32"/>
        </w:rPr>
        <w:t>．</w:t>
      </w:r>
      <w:r>
        <w:rPr>
          <w:rFonts w:hint="eastAsia" w:eastAsia="仿宋_GB2312" w:cs="仿宋_GB2312"/>
          <w:kern w:val="0"/>
          <w:sz w:val="32"/>
          <w:szCs w:val="32"/>
        </w:rPr>
        <w:t>2025年核桃良种选育</w:t>
      </w:r>
    </w:p>
    <w:p w14:paraId="2B0526E7">
      <w:pPr>
        <w:spacing w:line="578" w:lineRule="exact"/>
        <w:ind w:firstLine="640"/>
        <w:rPr>
          <w:rFonts w:eastAsia="仿宋_GB2312" w:cs="仿宋_GB2312"/>
          <w:kern w:val="0"/>
          <w:sz w:val="32"/>
          <w:szCs w:val="32"/>
        </w:rPr>
      </w:pPr>
      <w:r>
        <w:rPr>
          <w:rFonts w:hint="eastAsia" w:eastAsia="仿宋_GB2312" w:cs="仿宋_GB2312"/>
          <w:kern w:val="0"/>
          <w:sz w:val="32"/>
          <w:szCs w:val="32"/>
        </w:rPr>
        <w:t>开展本地核桃优良资源调查，调查20余个本地优良核桃的起源、分布、坚果表型等；开展攀核1号区域试验点的管护，撰写攀核1号良种审定申报材料，申请攀核1号良种审定，目前审定已完成现场核查，专家评审，审定通过公示；开展备选品种圆核桃、永兴大泡、啊喇红核桃的区域试验布点，分别在米易红岩村、会理益门镇白果村各品种大树嫁接各1亩。</w:t>
      </w:r>
    </w:p>
    <w:p w14:paraId="350A9BE8">
      <w:pPr>
        <w:spacing w:line="578" w:lineRule="exact"/>
        <w:ind w:firstLine="640"/>
        <w:rPr>
          <w:rFonts w:eastAsia="仿宋_GB2312" w:cs="仿宋_GB2312"/>
          <w:kern w:val="0"/>
          <w:sz w:val="32"/>
          <w:szCs w:val="32"/>
        </w:rPr>
      </w:pPr>
      <w:r>
        <w:rPr>
          <w:rFonts w:hint="eastAsia" w:eastAsia="仿宋_GB2312" w:cs="仿宋_GB2312"/>
          <w:kern w:val="0"/>
          <w:sz w:val="32"/>
          <w:szCs w:val="32"/>
        </w:rPr>
        <w:t>4</w:t>
      </w:r>
      <w:r>
        <w:rPr>
          <w:rFonts w:eastAsia="仿宋_GB2312" w:cs="仿宋_GB2312"/>
          <w:kern w:val="0"/>
          <w:sz w:val="32"/>
          <w:szCs w:val="32"/>
        </w:rPr>
        <w:t>．</w:t>
      </w:r>
      <w:r>
        <w:rPr>
          <w:rFonts w:hint="eastAsia" w:eastAsia="仿宋_GB2312" w:cs="仿宋_GB2312"/>
          <w:kern w:val="0"/>
          <w:sz w:val="32"/>
          <w:szCs w:val="32"/>
        </w:rPr>
        <w:t>板栗主要害虫栗实象综合防控技术研究及示范</w:t>
      </w:r>
    </w:p>
    <w:p w14:paraId="24394580">
      <w:pPr>
        <w:spacing w:line="578" w:lineRule="exact"/>
        <w:ind w:firstLine="640"/>
        <w:rPr>
          <w:rFonts w:eastAsia="仿宋_GB2312" w:cs="仿宋_GB2312"/>
          <w:kern w:val="0"/>
          <w:sz w:val="32"/>
          <w:szCs w:val="32"/>
        </w:rPr>
      </w:pPr>
      <w:r>
        <w:rPr>
          <w:rFonts w:hint="eastAsia" w:eastAsia="仿宋_GB2312" w:cs="仿宋_GB2312"/>
          <w:kern w:val="0"/>
          <w:sz w:val="32"/>
          <w:szCs w:val="32"/>
        </w:rPr>
        <w:t>针对板栗主要蛀果象甲，开展了板栗林下土层解剖调查、树冠调查、栗苞调查、果实调查等，初步掌握了蛹、成虫、幼虫3个虫态的主要发生时期及幼虫蛀果为害特征等，目前仍在继续开展发生规律研究，待周年调查结束后，预计2026年6月得出其周年发生规律；针对成虫上树为害情况，开展了林下种植食用菌防控效果、主干环绕粘虫胶带防成虫上树效果、树冠药剂防治效果、林下土壤翻耕等关键防控技术试验研究，相关结果已进行初步统计分析，计划于2026年3-4月进一步开展林下药剂试验，4月-5月开展植保无人机飞防试验，并进行综合防控技术总结及示范；建立试验示范点2个；图文并茂的实用技术手册已基本形成初稿，待进一步修改完善；技术培训计划于2026年3月-5月期间开展。</w:t>
      </w:r>
    </w:p>
    <w:p w14:paraId="44FC007F">
      <w:pPr>
        <w:spacing w:line="578" w:lineRule="exact"/>
        <w:ind w:firstLine="640"/>
        <w:rPr>
          <w:rFonts w:eastAsia="仿宋_GB2312" w:cs="仿宋_GB2312"/>
          <w:kern w:val="0"/>
          <w:sz w:val="32"/>
          <w:szCs w:val="32"/>
        </w:rPr>
      </w:pPr>
      <w:r>
        <w:rPr>
          <w:rFonts w:hint="eastAsia" w:eastAsia="仿宋_GB2312" w:cs="仿宋_GB2312"/>
          <w:kern w:val="0"/>
          <w:sz w:val="32"/>
          <w:szCs w:val="32"/>
        </w:rPr>
        <w:t>5</w:t>
      </w:r>
      <w:r>
        <w:rPr>
          <w:rFonts w:eastAsia="仿宋_GB2312" w:cs="仿宋_GB2312"/>
          <w:kern w:val="0"/>
          <w:sz w:val="32"/>
          <w:szCs w:val="32"/>
        </w:rPr>
        <w:t>．</w:t>
      </w:r>
      <w:r>
        <w:rPr>
          <w:rFonts w:hint="eastAsia" w:eastAsia="仿宋_GB2312" w:cs="仿宋_GB2312"/>
          <w:kern w:val="0"/>
          <w:sz w:val="32"/>
          <w:szCs w:val="32"/>
        </w:rPr>
        <w:t>林下魔芋种植技术推广</w:t>
      </w:r>
    </w:p>
    <w:p w14:paraId="4696485F">
      <w:pPr>
        <w:spacing w:line="578" w:lineRule="exact"/>
        <w:ind w:firstLine="640"/>
        <w:rPr>
          <w:rFonts w:eastAsia="仿宋_GB2312" w:cs="仿宋_GB2312"/>
          <w:kern w:val="0"/>
          <w:sz w:val="32"/>
          <w:szCs w:val="32"/>
        </w:rPr>
      </w:pPr>
      <w:r>
        <w:rPr>
          <w:rFonts w:hint="eastAsia" w:eastAsia="仿宋_GB2312" w:cs="仿宋_GB2312"/>
          <w:kern w:val="0"/>
          <w:sz w:val="32"/>
          <w:szCs w:val="32"/>
        </w:rPr>
        <w:t>在盐边县、米易县、仁和区推广林下魔芋种植品种3个以上，即珠芽魔芋类、花魔芋类、高寒魔芋类等；实施2025年3月12日发布的魔芋种植市地方标准22个，技术培训10期以上，培训指导1000人次，技术覆盖全市魔芋种植1万余亩。</w:t>
      </w:r>
    </w:p>
    <w:p w14:paraId="5BF5B80E">
      <w:pPr>
        <w:spacing w:line="578" w:lineRule="exact"/>
        <w:ind w:firstLine="640"/>
        <w:rPr>
          <w:rFonts w:eastAsia="仿宋_GB2312" w:cs="仿宋_GB2312"/>
          <w:kern w:val="0"/>
          <w:sz w:val="32"/>
          <w:szCs w:val="32"/>
        </w:rPr>
      </w:pPr>
      <w:r>
        <w:rPr>
          <w:rFonts w:hint="eastAsia" w:eastAsia="仿宋_GB2312" w:cs="仿宋_GB2312"/>
          <w:kern w:val="0"/>
          <w:sz w:val="32"/>
          <w:szCs w:val="32"/>
        </w:rPr>
        <w:t>6</w:t>
      </w:r>
      <w:r>
        <w:rPr>
          <w:rFonts w:eastAsia="仿宋_GB2312" w:cs="仿宋_GB2312"/>
          <w:kern w:val="0"/>
          <w:sz w:val="32"/>
          <w:szCs w:val="32"/>
        </w:rPr>
        <w:t>．</w:t>
      </w:r>
      <w:r>
        <w:rPr>
          <w:rFonts w:hint="eastAsia" w:eastAsia="仿宋_GB2312" w:cs="仿宋_GB2312"/>
          <w:kern w:val="0"/>
          <w:sz w:val="32"/>
          <w:szCs w:val="32"/>
        </w:rPr>
        <w:t>椰枣引种栽培技术研究</w:t>
      </w:r>
    </w:p>
    <w:p w14:paraId="6E8CE7FF">
      <w:pPr>
        <w:spacing w:line="578" w:lineRule="exact"/>
        <w:ind w:firstLine="640"/>
        <w:rPr>
          <w:rFonts w:eastAsia="仿宋_GB2312" w:cs="仿宋_GB2312"/>
          <w:kern w:val="0"/>
          <w:sz w:val="32"/>
          <w:szCs w:val="32"/>
        </w:rPr>
      </w:pPr>
      <w:r>
        <w:rPr>
          <w:rFonts w:hint="eastAsia" w:eastAsia="仿宋_GB2312" w:cs="仿宋_GB2312"/>
          <w:kern w:val="0"/>
          <w:sz w:val="32"/>
          <w:szCs w:val="32"/>
        </w:rPr>
        <w:t>按椰子所安排，攀枝花市共引种试种9个椰子品种，共计942株，试种基地面积共60亩。其中攀枝花市农林科学研究院在现代林业科技示范园已完成建设椰枣引种试种基地10亩，引种7个椰枣品种，共计种植158株。建立了椰枣引种试种科研团队，按照椰枣所提供的栽培管理方案管护和管理，并进行椰枣的适应性观测等研究。</w:t>
      </w:r>
    </w:p>
    <w:p w14:paraId="2CDC5B54">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35D82D31">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的主要内容是以推进林业产业、扩大林下经济产业发展规模，持续优化林下经济产业布局，不断增加林下产品有效供给，同时加强生态建设和生物安全为目的。根据产业发展需求，开展板栗主要害虫栗实象综合防控技术研究及示范、核桃良种选育研究、块菌（松露）生态栽培技术深化研究与示范、林下魔芋种植技术推广、林下中药材高效种植技术推广、椰枣引种栽培技术研究。组建专家人才队伍，通过培养特色种植业，选育良种、研究板栗主要害虫栗实象发生规律及关键防控技术等，提升林地综合效益，贯彻习近平总书记关于生态文明建设的思想，“树立大食物观”，森林是“粮库”“加强国家生物安全风险防控和治理体系建设，提高国家生物安全治理能力，切实筑牢国家生物安全屏障”等重要论述；省政府和国家林草局印发的《建设“天府森林四库”实施方案》；以及省委、省政府“天府森林粮库”和“攀枝花共富区”建设的重大战略部署。推动乡村振兴产业发展提供科技支撑。</w:t>
      </w:r>
    </w:p>
    <w:p w14:paraId="27386A45">
      <w:pPr>
        <w:spacing w:line="578" w:lineRule="exact"/>
        <w:ind w:firstLine="640"/>
        <w:rPr>
          <w:rFonts w:eastAsia="仿宋_GB2312" w:cs="仿宋_GB2312"/>
          <w:kern w:val="0"/>
          <w:sz w:val="32"/>
          <w:szCs w:val="32"/>
        </w:rPr>
      </w:pPr>
      <w:r>
        <w:rPr>
          <w:rFonts w:hint="eastAsia" w:eastAsia="仿宋_GB2312" w:cs="仿宋_GB2312"/>
          <w:kern w:val="0"/>
          <w:sz w:val="32"/>
          <w:szCs w:val="32"/>
        </w:rPr>
        <w:t>所以本项目符合政策倾向，服务乡村，项目的实施更是落实国家“绿水青山就是金山银山”的发展战略，具有公共性，具有较高的经济效益和生态效益；资金属于公共财政支持范围，筹资渠道符合法律法规规定，筹资结构合理，资金来源渠道明确，资金到位时间、条件能够落实，社会效益明显。项目成果实现林业产业增产增收、恢复种植信心、维持社会稳定具有重要的意义，具有可持续性，群众满意度高。</w:t>
      </w:r>
    </w:p>
    <w:p w14:paraId="44F9FE61">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032DF755">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6029674C">
      <w:pPr>
        <w:spacing w:line="578" w:lineRule="exact"/>
        <w:ind w:firstLine="640"/>
        <w:rPr>
          <w:rFonts w:eastAsia="仿宋_GB2312" w:cs="仿宋_GB2312"/>
          <w:bCs/>
          <w:kern w:val="0"/>
          <w:sz w:val="32"/>
          <w:szCs w:val="32"/>
        </w:rPr>
      </w:pPr>
      <w:r>
        <w:rPr>
          <w:rFonts w:hint="eastAsia" w:eastAsia="仿宋_GB2312" w:cs="仿宋_GB2312"/>
          <w:bCs/>
          <w:kern w:val="0"/>
          <w:sz w:val="32"/>
          <w:szCs w:val="32"/>
        </w:rPr>
        <w:t>本项目根据绩效目标，制定详细的实施方案；单位学术委员会以及科技科对项目全程进行监督检查，组织验收等；具有健全的财务制度，财务科对项目经费的支出进行审核；项目立项依据充分，符合国家、省、市相关政策；详细的产出和效果能满足需求。评价得分：</w:t>
      </w:r>
      <w:r>
        <w:rPr>
          <w:rFonts w:eastAsia="仿宋_GB2312" w:cs="仿宋_GB2312"/>
          <w:bCs/>
          <w:kern w:val="0"/>
          <w:sz w:val="32"/>
          <w:szCs w:val="32"/>
        </w:rPr>
        <w:t>97.75</w:t>
      </w:r>
      <w:r>
        <w:rPr>
          <w:rFonts w:hint="eastAsia" w:eastAsia="仿宋_GB2312" w:cs="仿宋_GB2312"/>
          <w:bCs/>
          <w:kern w:val="0"/>
          <w:sz w:val="32"/>
          <w:szCs w:val="32"/>
        </w:rPr>
        <w:t>分。</w:t>
      </w:r>
    </w:p>
    <w:p w14:paraId="2523A3AE">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746D2644">
      <w:pPr>
        <w:spacing w:line="578" w:lineRule="exact"/>
        <w:ind w:firstLine="640"/>
        <w:rPr>
          <w:rFonts w:eastAsia="仿宋_GB2312" w:cs="仿宋_GB2312"/>
          <w:kern w:val="0"/>
          <w:sz w:val="32"/>
          <w:szCs w:val="32"/>
        </w:rPr>
      </w:pPr>
      <w:r>
        <w:rPr>
          <w:rFonts w:hint="eastAsia" w:eastAsia="仿宋_GB2312" w:cs="仿宋_GB2312"/>
          <w:kern w:val="0"/>
          <w:sz w:val="32"/>
          <w:szCs w:val="32"/>
        </w:rPr>
        <w:t>由于项目实施期较短，不具有长期连续性，不易产生更好的成效。</w:t>
      </w:r>
    </w:p>
    <w:p w14:paraId="5AB5CEB1">
      <w:pPr>
        <w:spacing w:line="578" w:lineRule="exact"/>
        <w:ind w:firstLine="640"/>
        <w:rPr>
          <w:rFonts w:eastAsia="仿宋_GB2312" w:cs="仿宋_GB2312"/>
          <w:kern w:val="0"/>
          <w:sz w:val="32"/>
          <w:szCs w:val="32"/>
        </w:rPr>
      </w:pPr>
      <w:r>
        <w:rPr>
          <w:rFonts w:eastAsia="仿宋_GB2312" w:cs="仿宋_GB2312"/>
          <w:b/>
          <w:kern w:val="0"/>
          <w:sz w:val="32"/>
          <w:szCs w:val="32"/>
        </w:rPr>
        <w:t>（三）相关建议。</w:t>
      </w:r>
      <w:r>
        <w:rPr>
          <w:rFonts w:hint="eastAsia" w:eastAsia="仿宋_GB2312" w:cs="仿宋_GB2312"/>
          <w:kern w:val="0"/>
          <w:sz w:val="32"/>
          <w:szCs w:val="32"/>
        </w:rPr>
        <w:t>无</w:t>
      </w:r>
      <w:r>
        <w:rPr>
          <w:rFonts w:eastAsia="仿宋_GB2312" w:cs="仿宋_GB2312"/>
          <w:kern w:val="0"/>
          <w:sz w:val="32"/>
          <w:szCs w:val="32"/>
        </w:rPr>
        <w:br w:type="page"/>
      </w:r>
    </w:p>
    <w:p w14:paraId="4A2CC0B6">
      <w:pPr>
        <w:spacing w:line="578" w:lineRule="exact"/>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w:t>
      </w:r>
    </w:p>
    <w:p w14:paraId="4BEC95F7">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省级财政农业改革创新科技示范奖补</w:t>
      </w:r>
    </w:p>
    <w:p w14:paraId="08D7687E">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专项资金项目</w:t>
      </w:r>
    </w:p>
    <w:p w14:paraId="2CDFF811">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一、项目概况</w:t>
      </w:r>
    </w:p>
    <w:p w14:paraId="7E4A7CC3">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（一）项目基本情况。</w:t>
      </w:r>
    </w:p>
    <w:p w14:paraId="1AD2D85B">
      <w:pPr>
        <w:spacing w:line="578" w:lineRule="exact"/>
        <w:ind w:firstLine="640"/>
        <w:rPr>
          <w:rFonts w:eastAsia="仿宋_GB2312" w:cs="仿宋_GB2312"/>
          <w:b/>
          <w:kern w:val="0"/>
          <w:sz w:val="32"/>
          <w:szCs w:val="32"/>
        </w:rPr>
      </w:pPr>
      <w:r>
        <w:rPr>
          <w:rFonts w:hint="eastAsia" w:eastAsia="仿宋_GB2312" w:cs="仿宋_GB2312"/>
          <w:b/>
          <w:kern w:val="0"/>
          <w:sz w:val="32"/>
          <w:szCs w:val="32"/>
        </w:rPr>
        <w:t>1．说明项目主管部门在该项目管理中的职能。</w:t>
      </w:r>
    </w:p>
    <w:p w14:paraId="4C6998DE">
      <w:pPr>
        <w:spacing w:line="578" w:lineRule="exact"/>
        <w:ind w:firstLine="640"/>
        <w:rPr>
          <w:rFonts w:eastAsia="仿宋_GB2312" w:cs="仿宋_GB2312"/>
          <w:kern w:val="0"/>
          <w:sz w:val="32"/>
          <w:szCs w:val="32"/>
        </w:rPr>
      </w:pPr>
      <w:r>
        <w:rPr>
          <w:rFonts w:hint="eastAsia" w:eastAsia="仿宋_GB2312" w:cs="仿宋_GB2312"/>
          <w:kern w:val="0"/>
          <w:sz w:val="32"/>
          <w:szCs w:val="32"/>
        </w:rPr>
        <w:t>攀枝花市农林科学研究院作为项目主持单位，负责与各合作单位的组织协调、专家团队管理、技术推广及资金使用。</w:t>
      </w:r>
    </w:p>
    <w:p w14:paraId="736DF331">
      <w:pPr>
        <w:spacing w:line="578" w:lineRule="exact"/>
        <w:ind w:firstLine="640"/>
        <w:rPr>
          <w:rFonts w:eastAsia="仿宋_GB2312" w:cs="仿宋_GB2312"/>
          <w:b/>
          <w:kern w:val="0"/>
          <w:sz w:val="32"/>
          <w:szCs w:val="32"/>
        </w:rPr>
      </w:pPr>
      <w:r>
        <w:rPr>
          <w:rFonts w:hint="eastAsia" w:eastAsia="仿宋_GB2312" w:cs="仿宋_GB2312"/>
          <w:b/>
          <w:kern w:val="0"/>
          <w:sz w:val="32"/>
          <w:szCs w:val="32"/>
        </w:rPr>
        <w:t>2. 项目立项、资金申报的依据。</w:t>
      </w:r>
    </w:p>
    <w:p w14:paraId="45AD517E">
      <w:pPr>
        <w:spacing w:line="578" w:lineRule="exact"/>
        <w:ind w:firstLine="640"/>
        <w:rPr>
          <w:rFonts w:eastAsia="仿宋_GB2312" w:cs="仿宋_GB2312"/>
          <w:kern w:val="0"/>
          <w:sz w:val="32"/>
          <w:szCs w:val="32"/>
        </w:rPr>
      </w:pPr>
      <w:r>
        <w:rPr>
          <w:rFonts w:hint="eastAsia" w:eastAsia="仿宋_GB2312" w:cs="仿宋_GB2312"/>
          <w:kern w:val="0"/>
          <w:sz w:val="32"/>
          <w:szCs w:val="32"/>
        </w:rPr>
        <w:t>蔬菜产业是攀枝花农业的主导产业之一。根据中央和省委关于乡村振兴的决策部署，围绕特色产业现代化生产关键技术示范推广，增强乡村振兴内生动力。项目资金来源为省级财政农业改革创新科技示范奖补专项资金100万元。</w:t>
      </w:r>
    </w:p>
    <w:p w14:paraId="284BB0C7">
      <w:pPr>
        <w:spacing w:line="578" w:lineRule="exact"/>
        <w:ind w:firstLine="640"/>
        <w:rPr>
          <w:rFonts w:eastAsia="仿宋_GB2312" w:cs="仿宋_GB2312"/>
          <w:b/>
          <w:kern w:val="0"/>
          <w:sz w:val="32"/>
          <w:szCs w:val="32"/>
        </w:rPr>
      </w:pPr>
      <w:r>
        <w:rPr>
          <w:rFonts w:hint="eastAsia" w:eastAsia="仿宋_GB2312" w:cs="仿宋_GB2312"/>
          <w:b/>
          <w:kern w:val="0"/>
          <w:sz w:val="32"/>
          <w:szCs w:val="32"/>
        </w:rPr>
        <w:t>3. 资金管理办法制定情况，资金支持具体项目的条件、范围与支持方式概况。</w:t>
      </w:r>
    </w:p>
    <w:p w14:paraId="4974FA23">
      <w:pPr>
        <w:spacing w:line="578" w:lineRule="exact"/>
        <w:ind w:firstLine="640"/>
        <w:rPr>
          <w:rFonts w:eastAsia="仿宋_GB2312" w:cs="仿宋_GB2312"/>
          <w:kern w:val="0"/>
          <w:sz w:val="32"/>
          <w:szCs w:val="32"/>
        </w:rPr>
      </w:pPr>
      <w:r>
        <w:rPr>
          <w:rFonts w:hint="eastAsia" w:eastAsia="仿宋_GB2312" w:cs="仿宋_GB2312"/>
          <w:kern w:val="0"/>
          <w:sz w:val="32"/>
          <w:szCs w:val="32"/>
        </w:rPr>
        <w:t>严格按照四川省科技计划项目管理办法及相应的经费管理规定等相关法规开展相关研究和经费管理，单位制定了《全院非政府采购类项目的采购管理暂行办法》《攀枝花市农林科学研究固定资产暂行管理办法》《攀枝花市农林科学研究院差旅费管理办法》《攀枝花市农林科学研究院临时用工管理办法》。确保项目资金的使用安全、规范、有效，资金支付范围、支付标准、支付进度、支付依据等合规合法。</w:t>
      </w:r>
    </w:p>
    <w:p w14:paraId="1819516D">
      <w:pPr>
        <w:spacing w:line="578" w:lineRule="exact"/>
        <w:ind w:firstLine="640"/>
        <w:rPr>
          <w:rFonts w:eastAsia="仿宋_GB2312" w:cs="仿宋_GB2312"/>
          <w:b/>
          <w:kern w:val="0"/>
          <w:sz w:val="32"/>
          <w:szCs w:val="32"/>
        </w:rPr>
      </w:pPr>
      <w:r>
        <w:rPr>
          <w:rFonts w:hint="eastAsia" w:eastAsia="仿宋_GB2312" w:cs="仿宋_GB2312"/>
          <w:b/>
          <w:kern w:val="0"/>
          <w:sz w:val="32"/>
          <w:szCs w:val="32"/>
        </w:rPr>
        <w:t>4. 资金分配的原则及考虑因素。</w:t>
      </w:r>
    </w:p>
    <w:p w14:paraId="33A69093">
      <w:pPr>
        <w:spacing w:line="578" w:lineRule="exact"/>
        <w:ind w:firstLine="640"/>
        <w:rPr>
          <w:rFonts w:eastAsia="仿宋_GB2312" w:cs="仿宋_GB2312"/>
          <w:kern w:val="0"/>
          <w:sz w:val="32"/>
          <w:szCs w:val="32"/>
        </w:rPr>
      </w:pPr>
      <w:r>
        <w:rPr>
          <w:rFonts w:hint="eastAsia" w:eastAsia="仿宋_GB2312" w:cs="仿宋_GB2312"/>
          <w:kern w:val="0"/>
          <w:sz w:val="32"/>
          <w:szCs w:val="32"/>
        </w:rPr>
        <w:t>本项目于2024年12月19日签定任务书。实行首席专家负责制，由5家单位的相关专家组成项目实施团队。项目牵头单位攀枝花市农林科学研究院，资金分配的原则及考虑因素根据承担的项目工作任务确定。</w:t>
      </w:r>
    </w:p>
    <w:p w14:paraId="22807E10">
      <w:pPr>
        <w:spacing w:line="578" w:lineRule="exact"/>
        <w:ind w:firstLine="640"/>
        <w:rPr>
          <w:rFonts w:eastAsia="仿宋_GB2312" w:cs="仿宋_GB2312"/>
          <w:kern w:val="0"/>
          <w:sz w:val="32"/>
          <w:szCs w:val="32"/>
        </w:rPr>
      </w:pPr>
      <w:r>
        <w:rPr>
          <w:rFonts w:hint="eastAsia" w:eastAsia="仿宋_GB2312" w:cs="仿宋_GB2312"/>
          <w:kern w:val="0"/>
          <w:sz w:val="32"/>
          <w:szCs w:val="32"/>
        </w:rPr>
        <w:t>①攀枝花市农林科学研究院55万元：作为项目主持单位（甲方），负责承接科技成果集成单位的科技成果，组织协调冬薯、稻-菜轮作成果在攀西地区的扩面推广。</w:t>
      </w:r>
    </w:p>
    <w:p w14:paraId="1396BB28">
      <w:pPr>
        <w:spacing w:line="578" w:lineRule="exact"/>
        <w:ind w:firstLine="640"/>
        <w:rPr>
          <w:rFonts w:eastAsia="仿宋_GB2312" w:cs="仿宋_GB2312"/>
          <w:kern w:val="0"/>
          <w:sz w:val="32"/>
          <w:szCs w:val="32"/>
        </w:rPr>
      </w:pPr>
      <w:r>
        <w:rPr>
          <w:rFonts w:hint="eastAsia" w:eastAsia="仿宋_GB2312" w:cs="仿宋_GB2312"/>
          <w:kern w:val="0"/>
          <w:sz w:val="32"/>
          <w:szCs w:val="32"/>
        </w:rPr>
        <w:t>②四川省农业科学院园艺研究所15万元：转化番茄新品种2个-川红1号、川粉红1号；转化水稻新品种2个-川康优丝苗、花优707；蔬菜、水稻农机设备示范；转化集成蔬菜、水稻新技术。</w:t>
      </w:r>
    </w:p>
    <w:p w14:paraId="08483B5F">
      <w:pPr>
        <w:spacing w:line="578" w:lineRule="exact"/>
        <w:ind w:firstLine="640"/>
        <w:rPr>
          <w:rFonts w:eastAsia="仿宋_GB2312" w:cs="仿宋_GB2312"/>
          <w:kern w:val="0"/>
          <w:sz w:val="32"/>
          <w:szCs w:val="32"/>
        </w:rPr>
      </w:pPr>
      <w:r>
        <w:rPr>
          <w:rFonts w:hint="eastAsia" w:eastAsia="仿宋_GB2312" w:cs="仿宋_GB2312"/>
          <w:kern w:val="0"/>
          <w:sz w:val="32"/>
          <w:szCs w:val="32"/>
        </w:rPr>
        <w:t>③米易县农业技术推广服务中心10万元：配合甲方落实蔬菜、水稻新品种、新技术在米易县的转化示范；开展技术服务，配合甲方做好培训会的组织协调。在米易县建设蔬菜新品种、新技术转化示范基地及蔬菜、水稻新品种、新技术推广。</w:t>
      </w:r>
    </w:p>
    <w:p w14:paraId="778DECAE">
      <w:pPr>
        <w:spacing w:line="578" w:lineRule="exact"/>
        <w:ind w:firstLine="640"/>
        <w:rPr>
          <w:rFonts w:eastAsia="仿宋_GB2312" w:cs="仿宋_GB2312"/>
          <w:kern w:val="0"/>
          <w:sz w:val="32"/>
          <w:szCs w:val="32"/>
        </w:rPr>
      </w:pPr>
      <w:r>
        <w:rPr>
          <w:rFonts w:hint="eastAsia" w:eastAsia="仿宋_GB2312" w:cs="仿宋_GB2312"/>
          <w:kern w:val="0"/>
          <w:sz w:val="32"/>
          <w:szCs w:val="32"/>
        </w:rPr>
        <w:t>④米易县绿怡果蔬种植专业合作社10万元：蔬菜新品种示范推广；蔬菜育苗技术、生产农机设备示范；协助合作方举办蔬菜新品种、主推技术、现场观摩会等。</w:t>
      </w:r>
    </w:p>
    <w:p w14:paraId="44883559">
      <w:pPr>
        <w:spacing w:line="578" w:lineRule="exact"/>
        <w:ind w:firstLine="640"/>
        <w:rPr>
          <w:rFonts w:eastAsia="仿宋_GB2312" w:cs="仿宋_GB2312"/>
          <w:kern w:val="0"/>
          <w:sz w:val="32"/>
          <w:szCs w:val="32"/>
        </w:rPr>
      </w:pPr>
      <w:r>
        <w:rPr>
          <w:rFonts w:hint="eastAsia" w:eastAsia="仿宋_GB2312" w:cs="仿宋_GB2312"/>
          <w:kern w:val="0"/>
          <w:sz w:val="32"/>
          <w:szCs w:val="32"/>
        </w:rPr>
        <w:t>⑤四川省农业科学院资源环境研究所10万元：马铃薯新品种、技术、设备成果转化示范。</w:t>
      </w:r>
    </w:p>
    <w:p w14:paraId="3F865921">
      <w:pPr>
        <w:spacing w:line="578" w:lineRule="exact"/>
        <w:ind w:firstLine="640"/>
        <w:rPr>
          <w:rFonts w:eastAsia="仿宋_GB2312" w:cs="仿宋_GB2312"/>
          <w:b/>
          <w:kern w:val="0"/>
          <w:sz w:val="32"/>
          <w:szCs w:val="32"/>
        </w:rPr>
      </w:pPr>
      <w:r>
        <w:rPr>
          <w:rFonts w:hint="eastAsia" w:eastAsia="仿宋_GB2312" w:cs="仿宋_GB2312"/>
          <w:b/>
          <w:kern w:val="0"/>
          <w:sz w:val="32"/>
          <w:szCs w:val="32"/>
        </w:rPr>
        <w:t>（二）项目绩效目标。</w:t>
      </w:r>
    </w:p>
    <w:p w14:paraId="7C9D7985">
      <w:pPr>
        <w:spacing w:line="578" w:lineRule="exact"/>
        <w:ind w:firstLine="640"/>
        <w:rPr>
          <w:rFonts w:eastAsia="仿宋_GB2312" w:cs="仿宋_GB2312"/>
          <w:b/>
          <w:kern w:val="0"/>
          <w:sz w:val="32"/>
          <w:szCs w:val="32"/>
        </w:rPr>
      </w:pPr>
      <w:r>
        <w:rPr>
          <w:rFonts w:hint="eastAsia" w:eastAsia="仿宋_GB2312" w:cs="仿宋_GB2312"/>
          <w:b/>
          <w:kern w:val="0"/>
          <w:sz w:val="32"/>
          <w:szCs w:val="32"/>
        </w:rPr>
        <w:t>1. 项目主要内容。</w:t>
      </w:r>
    </w:p>
    <w:p w14:paraId="276E7FC1">
      <w:pPr>
        <w:spacing w:line="578" w:lineRule="exact"/>
        <w:ind w:firstLine="640"/>
        <w:rPr>
          <w:rFonts w:eastAsia="仿宋_GB2312" w:cs="仿宋_GB2312"/>
          <w:kern w:val="0"/>
          <w:sz w:val="32"/>
          <w:szCs w:val="32"/>
        </w:rPr>
      </w:pPr>
      <w:r>
        <w:rPr>
          <w:rFonts w:hint="eastAsia" w:eastAsia="仿宋_GB2312" w:cs="仿宋_GB2312"/>
          <w:kern w:val="0"/>
          <w:sz w:val="32"/>
          <w:szCs w:val="32"/>
        </w:rPr>
        <w:t>在攀西地区推广绿色高效稻、菜、薯良种良机良技成果。</w:t>
      </w:r>
    </w:p>
    <w:p w14:paraId="53920C17">
      <w:pPr>
        <w:spacing w:line="578" w:lineRule="exact"/>
        <w:ind w:firstLine="640"/>
        <w:rPr>
          <w:rFonts w:eastAsia="仿宋_GB2312" w:cs="仿宋_GB2312"/>
          <w:b/>
          <w:kern w:val="0"/>
          <w:sz w:val="32"/>
          <w:szCs w:val="32"/>
        </w:rPr>
      </w:pPr>
      <w:r>
        <w:rPr>
          <w:rFonts w:hint="eastAsia" w:eastAsia="仿宋_GB2312" w:cs="仿宋_GB2312"/>
          <w:b/>
          <w:kern w:val="0"/>
          <w:sz w:val="32"/>
          <w:szCs w:val="32"/>
        </w:rPr>
        <w:t>2. 项目应实现的具体绩效目标，包括目标的量化、细化情况以及项目实施进度计划等。</w:t>
      </w:r>
    </w:p>
    <w:p w14:paraId="067EC22A">
      <w:pPr>
        <w:spacing w:line="578" w:lineRule="exact"/>
        <w:ind w:firstLine="640"/>
        <w:rPr>
          <w:rFonts w:eastAsia="仿宋_GB2312" w:cs="仿宋_GB2312"/>
          <w:kern w:val="0"/>
          <w:sz w:val="32"/>
          <w:szCs w:val="32"/>
        </w:rPr>
      </w:pPr>
      <w:r>
        <w:rPr>
          <w:rFonts w:hint="eastAsia" w:eastAsia="仿宋_GB2312" w:cs="仿宋_GB2312"/>
          <w:kern w:val="0"/>
          <w:sz w:val="32"/>
          <w:szCs w:val="32"/>
        </w:rPr>
        <w:t>建立科技成果集成转化模式 1 套， 转化稻-菜(薯)新品种 5 个，转化集成新技术 3 套，高质量培育新型经营主体 1 个。扩面示范水稻平均产量 810公斤/亩、冬薯和蔬菜等作物平均亩产值2万元。农业机械化替代减少用工 30%，综合效益提高 30%以上，反应品质水平的农产品企业收储价格上升 15%，示范农户累计增收30%。</w:t>
      </w:r>
    </w:p>
    <w:tbl>
      <w:tblPr>
        <w:tblStyle w:val="18"/>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1395"/>
        <w:gridCol w:w="5985"/>
      </w:tblGrid>
      <w:tr w14:paraId="686F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Pr>
          <w:p w14:paraId="6D29FEED">
            <w:pPr>
              <w:rPr>
                <w:sz w:val="24"/>
              </w:rPr>
            </w:pPr>
            <w:r>
              <w:rPr>
                <w:rFonts w:hint="eastAsia"/>
                <w:sz w:val="24"/>
              </w:rPr>
              <w:t>开始时间</w:t>
            </w:r>
          </w:p>
        </w:tc>
        <w:tc>
          <w:tcPr>
            <w:tcW w:w="1395" w:type="dxa"/>
          </w:tcPr>
          <w:p w14:paraId="215CCBB6">
            <w:pPr>
              <w:rPr>
                <w:sz w:val="24"/>
              </w:rPr>
            </w:pPr>
            <w:r>
              <w:rPr>
                <w:rFonts w:hint="eastAsia"/>
                <w:sz w:val="24"/>
              </w:rPr>
              <w:t>结束时间</w:t>
            </w:r>
          </w:p>
        </w:tc>
        <w:tc>
          <w:tcPr>
            <w:tcW w:w="5985" w:type="dxa"/>
          </w:tcPr>
          <w:p w14:paraId="1B1229E4">
            <w:pPr>
              <w:rPr>
                <w:sz w:val="24"/>
              </w:rPr>
            </w:pPr>
            <w:r>
              <w:rPr>
                <w:rFonts w:hint="eastAsia"/>
                <w:sz w:val="24"/>
              </w:rPr>
              <w:t>阶段目标</w:t>
            </w:r>
          </w:p>
        </w:tc>
      </w:tr>
      <w:tr w14:paraId="0D22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71CE6B7F">
            <w:pPr>
              <w:rPr>
                <w:sz w:val="24"/>
              </w:rPr>
            </w:pPr>
            <w:r>
              <w:rPr>
                <w:rFonts w:hint="eastAsia"/>
                <w:sz w:val="24"/>
              </w:rPr>
              <w:t>2024-07-01</w:t>
            </w:r>
          </w:p>
        </w:tc>
        <w:tc>
          <w:tcPr>
            <w:tcW w:w="1395" w:type="dxa"/>
            <w:tcBorders>
              <w:top w:val="single" w:color="auto" w:sz="4" w:space="0"/>
              <w:left w:val="single" w:color="auto" w:sz="4" w:space="0"/>
              <w:right w:val="single" w:color="auto" w:sz="4" w:space="0"/>
            </w:tcBorders>
          </w:tcPr>
          <w:p w14:paraId="45263FCF">
            <w:pPr>
              <w:rPr>
                <w:sz w:val="24"/>
              </w:rPr>
            </w:pPr>
            <w:r>
              <w:rPr>
                <w:rFonts w:hint="eastAsia"/>
                <w:sz w:val="24"/>
              </w:rPr>
              <w:t>2024-12-30</w:t>
            </w:r>
          </w:p>
        </w:tc>
        <w:tc>
          <w:tcPr>
            <w:tcW w:w="5985" w:type="dxa"/>
            <w:tcBorders>
              <w:top w:val="single" w:color="auto" w:sz="4" w:space="0"/>
              <w:left w:val="single" w:color="auto" w:sz="4" w:space="0"/>
              <w:right w:val="single" w:color="auto" w:sz="4" w:space="0"/>
            </w:tcBorders>
          </w:tcPr>
          <w:p w14:paraId="43652D7D">
            <w:pPr>
              <w:rPr>
                <w:sz w:val="24"/>
              </w:rPr>
            </w:pPr>
            <w:r>
              <w:rPr>
                <w:rFonts w:hint="eastAsia"/>
                <w:sz w:val="24"/>
              </w:rPr>
              <w:t>团队组建、调研，项目整体规划和设计，建设蔬菜新品种播种、新技术转化核心区示范100亩。</w:t>
            </w:r>
          </w:p>
        </w:tc>
      </w:tr>
      <w:tr w14:paraId="4BB3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749C2482">
            <w:pPr>
              <w:rPr>
                <w:sz w:val="24"/>
              </w:rPr>
            </w:pPr>
            <w:r>
              <w:rPr>
                <w:rFonts w:hint="eastAsia"/>
                <w:sz w:val="24"/>
              </w:rPr>
              <w:t>2025-01-01</w:t>
            </w:r>
          </w:p>
        </w:tc>
        <w:tc>
          <w:tcPr>
            <w:tcW w:w="1395" w:type="dxa"/>
            <w:tcBorders>
              <w:top w:val="single" w:color="auto" w:sz="4" w:space="0"/>
              <w:left w:val="single" w:color="auto" w:sz="4" w:space="0"/>
              <w:right w:val="single" w:color="auto" w:sz="4" w:space="0"/>
            </w:tcBorders>
          </w:tcPr>
          <w:p w14:paraId="0F0BA52E">
            <w:pPr>
              <w:rPr>
                <w:sz w:val="24"/>
              </w:rPr>
            </w:pPr>
            <w:r>
              <w:rPr>
                <w:rFonts w:hint="eastAsia"/>
                <w:sz w:val="24"/>
              </w:rPr>
              <w:t>2025-06-30</w:t>
            </w:r>
          </w:p>
        </w:tc>
        <w:tc>
          <w:tcPr>
            <w:tcW w:w="5985" w:type="dxa"/>
            <w:tcBorders>
              <w:top w:val="single" w:color="auto" w:sz="4" w:space="0"/>
              <w:left w:val="single" w:color="auto" w:sz="4" w:space="0"/>
              <w:right w:val="single" w:color="auto" w:sz="4" w:space="0"/>
            </w:tcBorders>
          </w:tcPr>
          <w:p w14:paraId="4A356548">
            <w:pPr>
              <w:rPr>
                <w:sz w:val="24"/>
              </w:rPr>
            </w:pPr>
            <w:r>
              <w:rPr>
                <w:rFonts w:hint="eastAsia"/>
                <w:sz w:val="24"/>
              </w:rPr>
              <w:t>建立科技成果集成转化模式1套，开展蔬菜新品种、马铃薯新品种、水稻新品种、主推技术、机械化等示范、现场观摩会等；扩面辐射推广2000亩。</w:t>
            </w:r>
          </w:p>
        </w:tc>
      </w:tr>
      <w:tr w14:paraId="277A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5031E1E8">
            <w:pPr>
              <w:rPr>
                <w:sz w:val="24"/>
              </w:rPr>
            </w:pPr>
            <w:r>
              <w:rPr>
                <w:rFonts w:hint="eastAsia"/>
                <w:sz w:val="24"/>
              </w:rPr>
              <w:t>2025-07-01</w:t>
            </w:r>
          </w:p>
        </w:tc>
        <w:tc>
          <w:tcPr>
            <w:tcW w:w="1395" w:type="dxa"/>
            <w:tcBorders>
              <w:top w:val="single" w:color="auto" w:sz="4" w:space="0"/>
              <w:left w:val="single" w:color="auto" w:sz="4" w:space="0"/>
              <w:right w:val="single" w:color="auto" w:sz="4" w:space="0"/>
            </w:tcBorders>
          </w:tcPr>
          <w:p w14:paraId="40741A67">
            <w:pPr>
              <w:rPr>
                <w:sz w:val="24"/>
              </w:rPr>
            </w:pPr>
            <w:r>
              <w:rPr>
                <w:rFonts w:hint="eastAsia"/>
                <w:sz w:val="24"/>
              </w:rPr>
              <w:t>2025-12-31</w:t>
            </w:r>
          </w:p>
        </w:tc>
        <w:tc>
          <w:tcPr>
            <w:tcW w:w="5985" w:type="dxa"/>
            <w:tcBorders>
              <w:top w:val="single" w:color="auto" w:sz="4" w:space="0"/>
              <w:left w:val="single" w:color="auto" w:sz="4" w:space="0"/>
              <w:right w:val="single" w:color="auto" w:sz="4" w:space="0"/>
            </w:tcBorders>
          </w:tcPr>
          <w:p w14:paraId="5E9229AF">
            <w:pPr>
              <w:rPr>
                <w:sz w:val="24"/>
              </w:rPr>
            </w:pPr>
            <w:r>
              <w:rPr>
                <w:rFonts w:hint="eastAsia"/>
                <w:sz w:val="24"/>
              </w:rPr>
              <w:t>开展水稻新品种、主推技术、机械化、现场观摩会等;扩面辐射推广2000亩。</w:t>
            </w:r>
          </w:p>
        </w:tc>
      </w:tr>
      <w:tr w14:paraId="34C6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622395F8">
            <w:pPr>
              <w:rPr>
                <w:sz w:val="24"/>
              </w:rPr>
            </w:pPr>
            <w:r>
              <w:rPr>
                <w:rFonts w:hint="eastAsia"/>
                <w:sz w:val="24"/>
              </w:rPr>
              <w:t>2026-01-01</w:t>
            </w:r>
          </w:p>
        </w:tc>
        <w:tc>
          <w:tcPr>
            <w:tcW w:w="1395" w:type="dxa"/>
            <w:tcBorders>
              <w:top w:val="single" w:color="auto" w:sz="4" w:space="0"/>
              <w:left w:val="single" w:color="auto" w:sz="4" w:space="0"/>
              <w:right w:val="single" w:color="auto" w:sz="4" w:space="0"/>
            </w:tcBorders>
          </w:tcPr>
          <w:p w14:paraId="407F0914">
            <w:pPr>
              <w:rPr>
                <w:sz w:val="24"/>
              </w:rPr>
            </w:pPr>
            <w:r>
              <w:rPr>
                <w:rFonts w:hint="eastAsia"/>
                <w:sz w:val="24"/>
              </w:rPr>
              <w:t>2026-06-30</w:t>
            </w:r>
          </w:p>
        </w:tc>
        <w:tc>
          <w:tcPr>
            <w:tcW w:w="5985" w:type="dxa"/>
            <w:tcBorders>
              <w:top w:val="single" w:color="auto" w:sz="4" w:space="0"/>
              <w:left w:val="single" w:color="auto" w:sz="4" w:space="0"/>
              <w:right w:val="single" w:color="auto" w:sz="4" w:space="0"/>
            </w:tcBorders>
          </w:tcPr>
          <w:p w14:paraId="6C85A9DF">
            <w:pPr>
              <w:rPr>
                <w:sz w:val="24"/>
              </w:rPr>
            </w:pPr>
            <w:r>
              <w:rPr>
                <w:rFonts w:hint="eastAsia"/>
                <w:sz w:val="24"/>
              </w:rPr>
              <w:t>开展瓜果类蔬菜新品种、主推技术 、现场观摩会等;扩面辐射推广3000亩。</w:t>
            </w:r>
          </w:p>
        </w:tc>
      </w:tr>
      <w:tr w14:paraId="382E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6517EB76">
            <w:pPr>
              <w:rPr>
                <w:sz w:val="24"/>
              </w:rPr>
            </w:pPr>
            <w:r>
              <w:rPr>
                <w:rFonts w:hint="eastAsia"/>
                <w:sz w:val="24"/>
              </w:rPr>
              <w:t>2026-07-01</w:t>
            </w:r>
          </w:p>
        </w:tc>
        <w:tc>
          <w:tcPr>
            <w:tcW w:w="1395" w:type="dxa"/>
            <w:tcBorders>
              <w:top w:val="single" w:color="auto" w:sz="4" w:space="0"/>
              <w:left w:val="single" w:color="auto" w:sz="4" w:space="0"/>
              <w:right w:val="single" w:color="auto" w:sz="4" w:space="0"/>
            </w:tcBorders>
          </w:tcPr>
          <w:p w14:paraId="4BB04F16">
            <w:pPr>
              <w:rPr>
                <w:sz w:val="24"/>
              </w:rPr>
            </w:pPr>
            <w:r>
              <w:rPr>
                <w:rFonts w:hint="eastAsia"/>
                <w:sz w:val="24"/>
              </w:rPr>
              <w:t>2026-12-31</w:t>
            </w:r>
          </w:p>
        </w:tc>
        <w:tc>
          <w:tcPr>
            <w:tcW w:w="5985" w:type="dxa"/>
            <w:tcBorders>
              <w:top w:val="single" w:color="auto" w:sz="4" w:space="0"/>
              <w:left w:val="single" w:color="auto" w:sz="4" w:space="0"/>
              <w:right w:val="single" w:color="auto" w:sz="4" w:space="0"/>
            </w:tcBorders>
          </w:tcPr>
          <w:p w14:paraId="522FE2D6">
            <w:pPr>
              <w:rPr>
                <w:sz w:val="24"/>
              </w:rPr>
            </w:pPr>
            <w:r>
              <w:rPr>
                <w:rFonts w:hint="eastAsia"/>
                <w:sz w:val="24"/>
              </w:rPr>
              <w:t>开展水稻新品种、主推技术、机械化、现场观摩会等;扩面辐射推广3000亩。</w:t>
            </w:r>
          </w:p>
        </w:tc>
      </w:tr>
      <w:tr w14:paraId="6573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0E38810C">
            <w:pPr>
              <w:rPr>
                <w:sz w:val="24"/>
              </w:rPr>
            </w:pPr>
            <w:r>
              <w:rPr>
                <w:rFonts w:hint="eastAsia"/>
                <w:sz w:val="24"/>
              </w:rPr>
              <w:t>2027-01-01</w:t>
            </w:r>
          </w:p>
        </w:tc>
        <w:tc>
          <w:tcPr>
            <w:tcW w:w="1395" w:type="dxa"/>
            <w:tcBorders>
              <w:top w:val="single" w:color="auto" w:sz="4" w:space="0"/>
              <w:left w:val="single" w:color="auto" w:sz="4" w:space="0"/>
              <w:right w:val="single" w:color="auto" w:sz="4" w:space="0"/>
            </w:tcBorders>
          </w:tcPr>
          <w:p w14:paraId="0336EBBB">
            <w:pPr>
              <w:rPr>
                <w:sz w:val="24"/>
              </w:rPr>
            </w:pPr>
            <w:r>
              <w:rPr>
                <w:rFonts w:hint="eastAsia"/>
                <w:sz w:val="24"/>
              </w:rPr>
              <w:t>2027-06-30</w:t>
            </w:r>
          </w:p>
        </w:tc>
        <w:tc>
          <w:tcPr>
            <w:tcW w:w="5985" w:type="dxa"/>
            <w:tcBorders>
              <w:top w:val="single" w:color="auto" w:sz="4" w:space="0"/>
              <w:left w:val="single" w:color="auto" w:sz="4" w:space="0"/>
              <w:right w:val="single" w:color="auto" w:sz="4" w:space="0"/>
            </w:tcBorders>
          </w:tcPr>
          <w:p w14:paraId="55A739D9">
            <w:pPr>
              <w:rPr>
                <w:sz w:val="24"/>
              </w:rPr>
            </w:pPr>
            <w:r>
              <w:rPr>
                <w:rFonts w:hint="eastAsia"/>
                <w:sz w:val="24"/>
              </w:rPr>
              <w:t>继续开展蔬菜新品种、主推技术 、机械化等,扩面辐射示范5000亩。</w:t>
            </w:r>
          </w:p>
        </w:tc>
      </w:tr>
      <w:tr w14:paraId="0C2C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18A88404">
            <w:pPr>
              <w:rPr>
                <w:sz w:val="24"/>
              </w:rPr>
            </w:pPr>
            <w:r>
              <w:rPr>
                <w:rFonts w:hint="eastAsia"/>
                <w:sz w:val="24"/>
              </w:rPr>
              <w:t>2027-07-01</w:t>
            </w:r>
          </w:p>
        </w:tc>
        <w:tc>
          <w:tcPr>
            <w:tcW w:w="1395" w:type="dxa"/>
            <w:tcBorders>
              <w:top w:val="single" w:color="auto" w:sz="4" w:space="0"/>
              <w:left w:val="single" w:color="auto" w:sz="4" w:space="0"/>
              <w:right w:val="single" w:color="auto" w:sz="4" w:space="0"/>
            </w:tcBorders>
          </w:tcPr>
          <w:p w14:paraId="6C5A7BFA">
            <w:pPr>
              <w:rPr>
                <w:sz w:val="24"/>
              </w:rPr>
            </w:pPr>
            <w:r>
              <w:rPr>
                <w:rFonts w:hint="eastAsia"/>
                <w:sz w:val="24"/>
              </w:rPr>
              <w:t>2027-12-31</w:t>
            </w:r>
          </w:p>
        </w:tc>
        <w:tc>
          <w:tcPr>
            <w:tcW w:w="5985" w:type="dxa"/>
            <w:tcBorders>
              <w:top w:val="single" w:color="auto" w:sz="4" w:space="0"/>
              <w:left w:val="single" w:color="auto" w:sz="4" w:space="0"/>
              <w:right w:val="single" w:color="auto" w:sz="4" w:space="0"/>
            </w:tcBorders>
          </w:tcPr>
          <w:p w14:paraId="6EBA221B">
            <w:pPr>
              <w:rPr>
                <w:sz w:val="24"/>
              </w:rPr>
            </w:pPr>
            <w:r>
              <w:rPr>
                <w:rFonts w:hint="eastAsia"/>
                <w:sz w:val="24"/>
              </w:rPr>
              <w:t>继续开展新品种、主推技术、机械化生产推广5000亩。</w:t>
            </w:r>
          </w:p>
        </w:tc>
      </w:tr>
      <w:tr w14:paraId="1EE4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408CC5EC">
            <w:pPr>
              <w:rPr>
                <w:sz w:val="24"/>
              </w:rPr>
            </w:pPr>
            <w:r>
              <w:rPr>
                <w:rFonts w:hint="eastAsia"/>
                <w:sz w:val="24"/>
              </w:rPr>
              <w:t>2028-01-01</w:t>
            </w:r>
          </w:p>
        </w:tc>
        <w:tc>
          <w:tcPr>
            <w:tcW w:w="1395" w:type="dxa"/>
            <w:tcBorders>
              <w:top w:val="single" w:color="auto" w:sz="4" w:space="0"/>
              <w:left w:val="single" w:color="auto" w:sz="4" w:space="0"/>
              <w:right w:val="single" w:color="auto" w:sz="4" w:space="0"/>
            </w:tcBorders>
          </w:tcPr>
          <w:p w14:paraId="526C47F8">
            <w:pPr>
              <w:rPr>
                <w:sz w:val="24"/>
              </w:rPr>
            </w:pPr>
            <w:r>
              <w:rPr>
                <w:rFonts w:hint="eastAsia"/>
                <w:sz w:val="24"/>
              </w:rPr>
              <w:t>2028-06-30</w:t>
            </w:r>
          </w:p>
        </w:tc>
        <w:tc>
          <w:tcPr>
            <w:tcW w:w="5985" w:type="dxa"/>
            <w:tcBorders>
              <w:top w:val="single" w:color="auto" w:sz="4" w:space="0"/>
              <w:left w:val="single" w:color="auto" w:sz="4" w:space="0"/>
              <w:right w:val="single" w:color="auto" w:sz="4" w:space="0"/>
            </w:tcBorders>
          </w:tcPr>
          <w:p w14:paraId="7C639BF8">
            <w:pPr>
              <w:rPr>
                <w:sz w:val="24"/>
              </w:rPr>
            </w:pPr>
            <w:r>
              <w:rPr>
                <w:rFonts w:hint="eastAsia"/>
                <w:sz w:val="24"/>
              </w:rPr>
              <w:t>继续开展新品种、主推技术、机械化生产推广5000亩。</w:t>
            </w:r>
          </w:p>
        </w:tc>
      </w:tr>
      <w:tr w14:paraId="6527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16D3BF42">
            <w:pPr>
              <w:rPr>
                <w:sz w:val="24"/>
              </w:rPr>
            </w:pPr>
            <w:r>
              <w:rPr>
                <w:rFonts w:hint="eastAsia"/>
                <w:sz w:val="24"/>
              </w:rPr>
              <w:t>2028-07-01</w:t>
            </w:r>
          </w:p>
        </w:tc>
        <w:tc>
          <w:tcPr>
            <w:tcW w:w="1395" w:type="dxa"/>
            <w:tcBorders>
              <w:top w:val="single" w:color="auto" w:sz="4" w:space="0"/>
              <w:left w:val="single" w:color="auto" w:sz="4" w:space="0"/>
              <w:right w:val="single" w:color="auto" w:sz="4" w:space="0"/>
            </w:tcBorders>
          </w:tcPr>
          <w:p w14:paraId="01C667C8">
            <w:pPr>
              <w:rPr>
                <w:sz w:val="24"/>
              </w:rPr>
            </w:pPr>
            <w:r>
              <w:rPr>
                <w:rFonts w:hint="eastAsia"/>
                <w:sz w:val="24"/>
              </w:rPr>
              <w:t>2028-12-31</w:t>
            </w:r>
          </w:p>
        </w:tc>
        <w:tc>
          <w:tcPr>
            <w:tcW w:w="5985" w:type="dxa"/>
            <w:tcBorders>
              <w:top w:val="single" w:color="auto" w:sz="4" w:space="0"/>
              <w:left w:val="single" w:color="auto" w:sz="4" w:space="0"/>
              <w:right w:val="single" w:color="auto" w:sz="4" w:space="0"/>
            </w:tcBorders>
          </w:tcPr>
          <w:p w14:paraId="3050275F">
            <w:pPr>
              <w:rPr>
                <w:sz w:val="24"/>
              </w:rPr>
            </w:pPr>
            <w:r>
              <w:rPr>
                <w:rFonts w:hint="eastAsia"/>
                <w:sz w:val="24"/>
              </w:rPr>
              <w:t>继续开展新品种、主推技术、机械化生产推广5000亩。</w:t>
            </w:r>
          </w:p>
        </w:tc>
      </w:tr>
      <w:tr w14:paraId="57D8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6" w:type="dxa"/>
            <w:tcBorders>
              <w:top w:val="single" w:color="auto" w:sz="4" w:space="0"/>
              <w:left w:val="single" w:color="auto" w:sz="4" w:space="0"/>
              <w:right w:val="single" w:color="auto" w:sz="4" w:space="0"/>
            </w:tcBorders>
          </w:tcPr>
          <w:p w14:paraId="4ED42EDC">
            <w:pPr>
              <w:rPr>
                <w:sz w:val="24"/>
              </w:rPr>
            </w:pPr>
            <w:r>
              <w:rPr>
                <w:rFonts w:hint="eastAsia"/>
                <w:sz w:val="24"/>
              </w:rPr>
              <w:t>2029-01-01</w:t>
            </w:r>
          </w:p>
        </w:tc>
        <w:tc>
          <w:tcPr>
            <w:tcW w:w="1395" w:type="dxa"/>
            <w:tcBorders>
              <w:top w:val="single" w:color="auto" w:sz="4" w:space="0"/>
              <w:left w:val="single" w:color="auto" w:sz="4" w:space="0"/>
              <w:right w:val="single" w:color="auto" w:sz="4" w:space="0"/>
            </w:tcBorders>
          </w:tcPr>
          <w:p w14:paraId="343A8EC9">
            <w:pPr>
              <w:rPr>
                <w:sz w:val="24"/>
              </w:rPr>
            </w:pPr>
            <w:r>
              <w:rPr>
                <w:rFonts w:hint="eastAsia"/>
                <w:sz w:val="24"/>
              </w:rPr>
              <w:t>2029-06-30</w:t>
            </w:r>
          </w:p>
        </w:tc>
        <w:tc>
          <w:tcPr>
            <w:tcW w:w="5985" w:type="dxa"/>
            <w:tcBorders>
              <w:top w:val="single" w:color="auto" w:sz="4" w:space="0"/>
              <w:left w:val="single" w:color="auto" w:sz="4" w:space="0"/>
              <w:right w:val="single" w:color="auto" w:sz="4" w:space="0"/>
            </w:tcBorders>
          </w:tcPr>
          <w:p w14:paraId="1176A834">
            <w:pPr>
              <w:rPr>
                <w:sz w:val="24"/>
              </w:rPr>
            </w:pPr>
            <w:r>
              <w:rPr>
                <w:rFonts w:hint="eastAsia"/>
                <w:sz w:val="24"/>
              </w:rPr>
              <w:t>验收材料准备,项目验收。</w:t>
            </w:r>
          </w:p>
        </w:tc>
      </w:tr>
    </w:tbl>
    <w:p w14:paraId="7CF5971F">
      <w:pPr>
        <w:spacing w:line="578" w:lineRule="exact"/>
        <w:ind w:firstLine="640"/>
        <w:rPr>
          <w:rFonts w:eastAsia="仿宋_GB2312" w:cs="仿宋_GB2312"/>
          <w:b/>
          <w:kern w:val="0"/>
          <w:sz w:val="32"/>
          <w:szCs w:val="32"/>
        </w:rPr>
      </w:pPr>
      <w:r>
        <w:rPr>
          <w:rFonts w:hint="eastAsia" w:eastAsia="仿宋_GB2312" w:cs="仿宋_GB2312"/>
          <w:b/>
          <w:kern w:val="0"/>
          <w:sz w:val="32"/>
          <w:szCs w:val="32"/>
        </w:rPr>
        <w:t>3. 分析评价申报内容是否与实际相符，申报目标是否合理可行。</w:t>
      </w:r>
    </w:p>
    <w:p w14:paraId="25CF2159">
      <w:pPr>
        <w:spacing w:line="578" w:lineRule="exact"/>
        <w:ind w:firstLine="640"/>
        <w:rPr>
          <w:rFonts w:eastAsia="仿宋_GB2312" w:cs="仿宋_GB2312"/>
          <w:kern w:val="0"/>
          <w:sz w:val="32"/>
          <w:szCs w:val="32"/>
        </w:rPr>
      </w:pPr>
      <w:r>
        <w:rPr>
          <w:rFonts w:hint="eastAsia" w:eastAsia="仿宋_GB2312" w:cs="仿宋_GB2312"/>
          <w:kern w:val="0"/>
          <w:sz w:val="32"/>
          <w:szCs w:val="32"/>
        </w:rPr>
        <w:t>项目申报内容与攀西地区设施蔬菜产业、第二天府粮仓建设实际相符，攀枝花是四川省最大的早春设施蔬菜稻-菜轮作区，其中设施番茄种植面积最大，效益高，是攀枝花河谷区农业的支柱产业，目前正处于现代农业转型升级期，新品种新技术、新设备是产业技术刚需，申报目标合理可行。</w:t>
      </w:r>
    </w:p>
    <w:p w14:paraId="2A1B67F3">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（三）项目自评步骤及方法。</w:t>
      </w:r>
    </w:p>
    <w:p w14:paraId="1530AEE4">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项目绩效自评采用的组织实施步骤及方法：根据项目情况和评价重点，采用案卷研究法、单位自评法、实地勘察法等多种方法。</w:t>
      </w:r>
    </w:p>
    <w:p w14:paraId="37803EC0">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二、项目资金申报及使用情况</w:t>
      </w:r>
    </w:p>
    <w:p w14:paraId="379E7CE5">
      <w:pPr>
        <w:spacing w:line="578" w:lineRule="exact"/>
        <w:ind w:firstLine="640"/>
        <w:rPr>
          <w:rFonts w:eastAsia="仿宋_GB2312" w:cs="仿宋_GB2312"/>
          <w:kern w:val="0"/>
          <w:sz w:val="32"/>
          <w:szCs w:val="32"/>
        </w:rPr>
      </w:pPr>
      <w:r>
        <w:rPr>
          <w:rFonts w:hint="eastAsia" w:eastAsia="仿宋_GB2312" w:cs="仿宋_GB2312"/>
          <w:b/>
          <w:kern w:val="0"/>
          <w:sz w:val="32"/>
          <w:szCs w:val="32"/>
        </w:rPr>
        <w:t>（一）项目资金申报及批复情况。</w:t>
      </w:r>
    </w:p>
    <w:p w14:paraId="562845D1">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申报、批复资金100万元，没有预算调整情况。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项目经费手续完整、程序合规。</w:t>
      </w:r>
    </w:p>
    <w:p w14:paraId="68B2D726">
      <w:pPr>
        <w:spacing w:line="578" w:lineRule="exact"/>
        <w:ind w:firstLine="640"/>
        <w:rPr>
          <w:rFonts w:eastAsia="仿宋_GB2312" w:cs="仿宋_GB2312"/>
          <w:kern w:val="0"/>
          <w:sz w:val="32"/>
          <w:szCs w:val="32"/>
        </w:rPr>
      </w:pPr>
      <w:r>
        <w:rPr>
          <w:rFonts w:hint="eastAsia" w:eastAsia="仿宋_GB2312" w:cs="仿宋_GB2312"/>
          <w:b/>
          <w:kern w:val="0"/>
          <w:sz w:val="32"/>
          <w:szCs w:val="32"/>
        </w:rPr>
        <w:t>（二）资金计划、到位及使用情况。</w:t>
      </w:r>
    </w:p>
    <w:p w14:paraId="30522D92">
      <w:pPr>
        <w:spacing w:line="578" w:lineRule="exact"/>
        <w:ind w:firstLine="640"/>
        <w:rPr>
          <w:rFonts w:eastAsia="仿宋_GB2312" w:cs="仿宋_GB2312"/>
          <w:kern w:val="0"/>
          <w:sz w:val="32"/>
          <w:szCs w:val="32"/>
        </w:rPr>
      </w:pPr>
      <w:r>
        <w:rPr>
          <w:rFonts w:hint="eastAsia" w:eastAsia="仿宋_GB2312" w:cs="仿宋_GB2312"/>
          <w:b/>
          <w:kern w:val="0"/>
          <w:sz w:val="32"/>
          <w:szCs w:val="32"/>
        </w:rPr>
        <w:t>1．资金计划。</w:t>
      </w:r>
    </w:p>
    <w:p w14:paraId="7916710F">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本项目总预算100万元，攀枝花市农林科学研究院55万元，其它四家合作单位45万元。</w:t>
      </w:r>
    </w:p>
    <w:p w14:paraId="759182B7">
      <w:pPr>
        <w:spacing w:line="578" w:lineRule="exact"/>
        <w:ind w:firstLine="640"/>
        <w:rPr>
          <w:rFonts w:eastAsia="仿宋_GB2312" w:cs="仿宋_GB2312"/>
          <w:b/>
          <w:kern w:val="0"/>
          <w:sz w:val="32"/>
          <w:szCs w:val="32"/>
        </w:rPr>
      </w:pPr>
      <w:r>
        <w:rPr>
          <w:rFonts w:hint="eastAsia" w:eastAsia="仿宋_GB2312" w:cs="仿宋_GB2312"/>
          <w:b/>
          <w:kern w:val="0"/>
          <w:sz w:val="32"/>
          <w:szCs w:val="32"/>
        </w:rPr>
        <w:t>2．资金到位及使用。</w:t>
      </w:r>
    </w:p>
    <w:p w14:paraId="301C0200">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本项目资金来源为省级财政农业改革创新科技示范奖补专项资金，项目执行期2024-2029年，预算数100万元，其中财政资金100万元，2024-2025年度经费执行66.190418万元，预算执行率66.19042%。</w:t>
      </w:r>
    </w:p>
    <w:p w14:paraId="788A477B">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资金使用情况见下表。</w:t>
      </w:r>
    </w:p>
    <w:tbl>
      <w:tblPr>
        <w:tblStyle w:val="18"/>
        <w:tblW w:w="8144" w:type="dxa"/>
        <w:jc w:val="center"/>
        <w:tblLayout w:type="fixed"/>
        <w:tblCellMar>
          <w:top w:w="0" w:type="dxa"/>
          <w:left w:w="108" w:type="dxa"/>
          <w:bottom w:w="0" w:type="dxa"/>
          <w:right w:w="108" w:type="dxa"/>
        </w:tblCellMar>
      </w:tblPr>
      <w:tblGrid>
        <w:gridCol w:w="2383"/>
        <w:gridCol w:w="2025"/>
        <w:gridCol w:w="1920"/>
        <w:gridCol w:w="1816"/>
      </w:tblGrid>
      <w:tr w14:paraId="6D4E0917">
        <w:tblPrEx>
          <w:tblCellMar>
            <w:top w:w="0" w:type="dxa"/>
            <w:left w:w="108" w:type="dxa"/>
            <w:bottom w:w="0" w:type="dxa"/>
            <w:right w:w="108" w:type="dxa"/>
          </w:tblCellMar>
        </w:tblPrEx>
        <w:trPr>
          <w:trHeight w:val="330" w:hRule="atLeast"/>
          <w:jc w:val="center"/>
        </w:trPr>
        <w:tc>
          <w:tcPr>
            <w:tcW w:w="23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6C10">
            <w:pPr>
              <w:widowControl/>
              <w:jc w:val="center"/>
              <w:textAlignment w:val="center"/>
              <w:rPr>
                <w:rFonts w:ascii="Arial" w:hAnsi="Arial" w:cs="Arial"/>
                <w:b/>
                <w:color w:val="000000"/>
                <w:sz w:val="20"/>
                <w:szCs w:val="20"/>
              </w:rPr>
            </w:pPr>
            <w:r>
              <w:rPr>
                <w:rFonts w:ascii="Arial" w:hAnsi="Arial" w:cs="Arial"/>
                <w:b/>
                <w:color w:val="000000"/>
                <w:kern w:val="0"/>
                <w:sz w:val="20"/>
                <w:szCs w:val="20"/>
              </w:rPr>
              <w:t>项目名称</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4407">
            <w:pPr>
              <w:widowControl/>
              <w:jc w:val="center"/>
              <w:textAlignment w:val="center"/>
              <w:rPr>
                <w:rFonts w:ascii="Arial" w:hAnsi="Arial" w:cs="Arial"/>
                <w:b/>
                <w:color w:val="000000"/>
                <w:sz w:val="20"/>
                <w:szCs w:val="20"/>
              </w:rPr>
            </w:pPr>
            <w:r>
              <w:rPr>
                <w:rFonts w:ascii="Arial" w:hAnsi="Arial" w:cs="Arial"/>
                <w:b/>
                <w:color w:val="000000"/>
                <w:kern w:val="0"/>
                <w:sz w:val="20"/>
                <w:szCs w:val="20"/>
              </w:rPr>
              <w:t>部门经济科目名称</w:t>
            </w:r>
          </w:p>
        </w:tc>
        <w:tc>
          <w:tcPr>
            <w:tcW w:w="3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0FB7">
            <w:pPr>
              <w:widowControl/>
              <w:jc w:val="center"/>
              <w:textAlignment w:val="center"/>
              <w:rPr>
                <w:rFonts w:ascii="Arial" w:hAnsi="Arial" w:cs="Arial"/>
                <w:b/>
                <w:color w:val="000000"/>
                <w:sz w:val="20"/>
                <w:szCs w:val="20"/>
              </w:rPr>
            </w:pPr>
            <w:r>
              <w:rPr>
                <w:rFonts w:ascii="Arial" w:hAnsi="Arial" w:cs="Arial"/>
                <w:b/>
                <w:color w:val="000000"/>
                <w:kern w:val="0"/>
                <w:sz w:val="20"/>
                <w:szCs w:val="20"/>
              </w:rPr>
              <w:t>本期</w:t>
            </w:r>
          </w:p>
        </w:tc>
      </w:tr>
      <w:tr w14:paraId="2F1F426C">
        <w:tblPrEx>
          <w:tblCellMar>
            <w:top w:w="0" w:type="dxa"/>
            <w:left w:w="108" w:type="dxa"/>
            <w:bottom w:w="0" w:type="dxa"/>
            <w:right w:w="108" w:type="dxa"/>
          </w:tblCellMar>
        </w:tblPrEx>
        <w:trPr>
          <w:trHeight w:val="330" w:hRule="atLeast"/>
          <w:jc w:val="center"/>
        </w:trPr>
        <w:tc>
          <w:tcPr>
            <w:tcW w:w="2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CEB7"/>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4590"/>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7EDE">
            <w:pPr>
              <w:widowControl/>
              <w:jc w:val="center"/>
              <w:textAlignment w:val="center"/>
              <w:rPr>
                <w:rFonts w:ascii="Arial" w:hAnsi="Arial" w:cs="Arial"/>
                <w:b/>
                <w:color w:val="000000"/>
                <w:sz w:val="20"/>
                <w:szCs w:val="20"/>
              </w:rPr>
            </w:pPr>
            <w:r>
              <w:rPr>
                <w:rFonts w:ascii="Arial" w:hAnsi="Arial" w:cs="Arial"/>
                <w:b/>
                <w:color w:val="000000"/>
                <w:kern w:val="0"/>
                <w:sz w:val="20"/>
                <w:szCs w:val="20"/>
              </w:rPr>
              <w:t>借方</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BE79">
            <w:pPr>
              <w:widowControl/>
              <w:jc w:val="center"/>
              <w:textAlignment w:val="center"/>
              <w:rPr>
                <w:rFonts w:ascii="Arial" w:hAnsi="Arial" w:cs="Arial"/>
                <w:b/>
                <w:color w:val="000000"/>
                <w:sz w:val="20"/>
                <w:szCs w:val="20"/>
              </w:rPr>
            </w:pPr>
            <w:r>
              <w:rPr>
                <w:rFonts w:ascii="Arial" w:hAnsi="Arial" w:cs="Arial"/>
                <w:b/>
                <w:color w:val="000000"/>
                <w:kern w:val="0"/>
                <w:sz w:val="20"/>
                <w:szCs w:val="20"/>
              </w:rPr>
              <w:t>贷方</w:t>
            </w:r>
          </w:p>
        </w:tc>
      </w:tr>
      <w:tr w14:paraId="0308C118">
        <w:tblPrEx>
          <w:tblCellMar>
            <w:top w:w="0" w:type="dxa"/>
            <w:left w:w="108" w:type="dxa"/>
            <w:bottom w:w="0" w:type="dxa"/>
            <w:right w:w="108" w:type="dxa"/>
          </w:tblCellMar>
        </w:tblPrEx>
        <w:trPr>
          <w:trHeight w:val="369" w:hRule="atLeast"/>
          <w:jc w:val="center"/>
        </w:trPr>
        <w:tc>
          <w:tcPr>
            <w:tcW w:w="2383" w:type="dxa"/>
            <w:vMerge w:val="restart"/>
            <w:tcBorders>
              <w:top w:val="single" w:color="000000" w:sz="4" w:space="0"/>
              <w:left w:val="single" w:color="000000" w:sz="4" w:space="0"/>
              <w:right w:val="single" w:color="000000" w:sz="4" w:space="0"/>
            </w:tcBorders>
            <w:shd w:val="clear" w:color="auto" w:fill="auto"/>
            <w:noWrap/>
            <w:vAlign w:val="center"/>
          </w:tcPr>
          <w:p w14:paraId="7D4051E0">
            <w:pPr>
              <w:widowControl/>
              <w:jc w:val="left"/>
              <w:textAlignment w:val="center"/>
              <w:rPr>
                <w:rFonts w:ascii="Arial" w:hAnsi="Arial" w:cs="Arial"/>
                <w:color w:val="000000"/>
                <w:sz w:val="20"/>
                <w:szCs w:val="20"/>
              </w:rPr>
            </w:pPr>
            <w:r>
              <w:rPr>
                <w:rFonts w:hint="eastAsia" w:ascii="Arial" w:hAnsi="Arial" w:cs="Arial"/>
                <w:color w:val="000000"/>
                <w:kern w:val="0"/>
                <w:sz w:val="20"/>
                <w:szCs w:val="20"/>
              </w:rPr>
              <w:t>攀西地区稻菜（薯）轮作绿色高效生产良种良机良技术扩面推广</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57A4">
            <w:pPr>
              <w:widowControl/>
              <w:jc w:val="left"/>
              <w:textAlignment w:val="center"/>
              <w:rPr>
                <w:rFonts w:ascii="Arial" w:hAnsi="Arial" w:cs="Arial"/>
                <w:color w:val="000000"/>
                <w:sz w:val="20"/>
                <w:szCs w:val="20"/>
              </w:rPr>
            </w:pPr>
            <w:r>
              <w:rPr>
                <w:rFonts w:ascii="Arial" w:hAnsi="Arial" w:cs="Arial"/>
                <w:color w:val="000000"/>
                <w:kern w:val="0"/>
                <w:sz w:val="20"/>
                <w:szCs w:val="20"/>
              </w:rPr>
              <w:t>商品和服务支出</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F34D">
            <w:pPr>
              <w:widowControl/>
              <w:jc w:val="left"/>
              <w:textAlignment w:val="center"/>
              <w:rPr>
                <w:rFonts w:ascii="Arial" w:hAnsi="Arial" w:cs="Arial"/>
                <w:color w:val="000000"/>
                <w:sz w:val="18"/>
                <w:szCs w:val="18"/>
              </w:rPr>
            </w:pPr>
            <w:r>
              <w:rPr>
                <w:rFonts w:hint="eastAsia" w:ascii="Arial" w:hAnsi="Arial" w:cs="Arial"/>
                <w:color w:val="000000"/>
                <w:kern w:val="0"/>
                <w:sz w:val="18"/>
                <w:szCs w:val="18"/>
                <w:lang w:val="zh-CN"/>
              </w:rPr>
              <w:t>661</w:t>
            </w:r>
            <w:r>
              <w:rPr>
                <w:rFonts w:ascii="Arial" w:hAnsi="Arial" w:cs="Arial"/>
                <w:color w:val="000000"/>
                <w:kern w:val="0"/>
                <w:sz w:val="18"/>
                <w:szCs w:val="18"/>
              </w:rPr>
              <w:t>，</w:t>
            </w:r>
            <w:r>
              <w:rPr>
                <w:rFonts w:hint="eastAsia" w:ascii="Arial" w:hAnsi="Arial" w:cs="Arial"/>
                <w:color w:val="000000"/>
                <w:kern w:val="0"/>
                <w:sz w:val="18"/>
                <w:szCs w:val="18"/>
                <w:lang w:val="zh-CN"/>
              </w:rPr>
              <w:t>904</w:t>
            </w:r>
            <w:r>
              <w:rPr>
                <w:rFonts w:ascii="Arial" w:hAnsi="Arial" w:cs="Arial"/>
                <w:color w:val="000000"/>
                <w:kern w:val="0"/>
                <w:sz w:val="18"/>
                <w:szCs w:val="18"/>
              </w:rPr>
              <w:t>.</w:t>
            </w:r>
            <w:r>
              <w:rPr>
                <w:rFonts w:hint="eastAsia" w:ascii="Arial" w:hAnsi="Arial" w:cs="Arial"/>
                <w:color w:val="000000"/>
                <w:kern w:val="0"/>
                <w:sz w:val="18"/>
                <w:szCs w:val="18"/>
                <w:lang w:val="zh-CN"/>
              </w:rPr>
              <w:t>18</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014B">
            <w:pPr>
              <w:widowControl/>
              <w:jc w:val="left"/>
              <w:textAlignment w:val="center"/>
              <w:rPr>
                <w:rFonts w:ascii="Arial" w:hAnsi="Arial" w:cs="Arial"/>
                <w:color w:val="000000"/>
                <w:sz w:val="18"/>
                <w:szCs w:val="18"/>
              </w:rPr>
            </w:pPr>
            <w:r>
              <w:rPr>
                <w:rFonts w:hint="eastAsia" w:ascii="Arial" w:hAnsi="Arial" w:cs="Arial"/>
                <w:color w:val="000000"/>
                <w:kern w:val="0"/>
                <w:sz w:val="18"/>
                <w:szCs w:val="18"/>
                <w:lang w:val="zh-CN"/>
              </w:rPr>
              <w:t>661</w:t>
            </w:r>
            <w:r>
              <w:rPr>
                <w:rFonts w:ascii="Arial" w:hAnsi="Arial" w:cs="Arial"/>
                <w:color w:val="000000"/>
                <w:kern w:val="0"/>
                <w:sz w:val="18"/>
                <w:szCs w:val="18"/>
              </w:rPr>
              <w:t>，</w:t>
            </w:r>
            <w:r>
              <w:rPr>
                <w:rFonts w:hint="eastAsia" w:ascii="Arial" w:hAnsi="Arial" w:cs="Arial"/>
                <w:color w:val="000000"/>
                <w:kern w:val="0"/>
                <w:sz w:val="18"/>
                <w:szCs w:val="18"/>
                <w:lang w:val="zh-CN"/>
              </w:rPr>
              <w:t>904</w:t>
            </w:r>
            <w:r>
              <w:rPr>
                <w:rFonts w:ascii="Arial" w:hAnsi="Arial" w:cs="Arial"/>
                <w:color w:val="000000"/>
                <w:kern w:val="0"/>
                <w:sz w:val="18"/>
                <w:szCs w:val="18"/>
              </w:rPr>
              <w:t>.</w:t>
            </w:r>
            <w:r>
              <w:rPr>
                <w:rFonts w:hint="eastAsia" w:ascii="Arial" w:hAnsi="Arial" w:cs="Arial"/>
                <w:color w:val="000000"/>
                <w:kern w:val="0"/>
                <w:sz w:val="18"/>
                <w:szCs w:val="18"/>
                <w:lang w:val="zh-CN"/>
              </w:rPr>
              <w:t>18</w:t>
            </w:r>
          </w:p>
        </w:tc>
      </w:tr>
      <w:tr w14:paraId="212D3D5F">
        <w:tblPrEx>
          <w:tblCellMar>
            <w:top w:w="0" w:type="dxa"/>
            <w:left w:w="108" w:type="dxa"/>
            <w:bottom w:w="0" w:type="dxa"/>
            <w:right w:w="108" w:type="dxa"/>
          </w:tblCellMar>
        </w:tblPrEx>
        <w:trPr>
          <w:trHeight w:val="330" w:hRule="atLeast"/>
          <w:jc w:val="center"/>
        </w:trPr>
        <w:tc>
          <w:tcPr>
            <w:tcW w:w="2383" w:type="dxa"/>
            <w:vMerge w:val="continue"/>
            <w:tcBorders>
              <w:left w:val="single" w:color="000000" w:sz="4" w:space="0"/>
              <w:right w:val="single" w:color="000000" w:sz="4" w:space="0"/>
            </w:tcBorders>
            <w:shd w:val="clear" w:color="auto" w:fill="auto"/>
            <w:noWrap/>
            <w:vAlign w:val="center"/>
          </w:tcPr>
          <w:p w14:paraId="5200D5EB"/>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8A6F">
            <w:pPr>
              <w:widowControl/>
              <w:jc w:val="left"/>
              <w:textAlignment w:val="center"/>
              <w:rPr>
                <w:rFonts w:ascii="Arial" w:hAnsi="Arial" w:cs="Arial"/>
                <w:color w:val="000000"/>
                <w:sz w:val="20"/>
                <w:szCs w:val="20"/>
              </w:rPr>
            </w:pPr>
            <w:r>
              <w:rPr>
                <w:rFonts w:ascii="Arial" w:hAnsi="Arial" w:cs="Arial"/>
                <w:color w:val="000000"/>
                <w:kern w:val="0"/>
                <w:sz w:val="20"/>
                <w:szCs w:val="20"/>
              </w:rPr>
              <w:t>差旅费</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98E1">
            <w:pPr>
              <w:widowControl/>
              <w:jc w:val="left"/>
              <w:textAlignment w:val="center"/>
              <w:rPr>
                <w:rFonts w:ascii="Arial" w:hAnsi="Arial" w:cs="Arial"/>
                <w:color w:val="000000"/>
                <w:sz w:val="18"/>
                <w:szCs w:val="18"/>
              </w:rPr>
            </w:pPr>
            <w:r>
              <w:rPr>
                <w:rFonts w:ascii="Arial" w:hAnsi="Arial" w:cs="Arial"/>
                <w:color w:val="000000"/>
                <w:kern w:val="0"/>
                <w:sz w:val="18"/>
                <w:szCs w:val="18"/>
              </w:rPr>
              <w:t>5，347.18</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71CC">
            <w:pPr>
              <w:widowControl/>
              <w:jc w:val="left"/>
              <w:textAlignment w:val="center"/>
              <w:rPr>
                <w:rFonts w:ascii="Arial" w:hAnsi="Arial" w:cs="Arial"/>
                <w:color w:val="000000"/>
                <w:sz w:val="18"/>
                <w:szCs w:val="18"/>
              </w:rPr>
            </w:pPr>
            <w:r>
              <w:rPr>
                <w:rFonts w:ascii="Arial" w:hAnsi="Arial" w:cs="Arial"/>
                <w:color w:val="000000"/>
                <w:kern w:val="0"/>
                <w:sz w:val="18"/>
                <w:szCs w:val="18"/>
              </w:rPr>
              <w:t>5，347.18</w:t>
            </w:r>
          </w:p>
        </w:tc>
      </w:tr>
      <w:tr w14:paraId="483B6661">
        <w:tblPrEx>
          <w:tblCellMar>
            <w:top w:w="0" w:type="dxa"/>
            <w:left w:w="108" w:type="dxa"/>
            <w:bottom w:w="0" w:type="dxa"/>
            <w:right w:w="108" w:type="dxa"/>
          </w:tblCellMar>
        </w:tblPrEx>
        <w:trPr>
          <w:trHeight w:val="330" w:hRule="atLeast"/>
          <w:jc w:val="center"/>
        </w:trPr>
        <w:tc>
          <w:tcPr>
            <w:tcW w:w="2383" w:type="dxa"/>
            <w:vMerge w:val="continue"/>
            <w:tcBorders>
              <w:left w:val="single" w:color="000000" w:sz="4" w:space="0"/>
              <w:right w:val="single" w:color="000000" w:sz="4" w:space="0"/>
            </w:tcBorders>
            <w:shd w:val="clear" w:color="auto" w:fill="auto"/>
            <w:noWrap/>
            <w:vAlign w:val="center"/>
          </w:tcPr>
          <w:p w14:paraId="181817A6"/>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67D9">
            <w:pPr>
              <w:widowControl/>
              <w:jc w:val="left"/>
              <w:textAlignment w:val="center"/>
              <w:rPr>
                <w:rFonts w:ascii="Arial" w:hAnsi="Arial" w:cs="Arial"/>
                <w:color w:val="000000"/>
                <w:sz w:val="20"/>
                <w:szCs w:val="20"/>
              </w:rPr>
            </w:pPr>
            <w:r>
              <w:rPr>
                <w:rFonts w:ascii="Arial" w:hAnsi="Arial" w:cs="Arial"/>
                <w:color w:val="000000"/>
                <w:kern w:val="0"/>
                <w:sz w:val="20"/>
                <w:szCs w:val="20"/>
              </w:rPr>
              <w:t>专用材料费</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7E4B">
            <w:pPr>
              <w:widowControl/>
              <w:jc w:val="left"/>
              <w:textAlignment w:val="center"/>
              <w:rPr>
                <w:rFonts w:ascii="Arial" w:hAnsi="Arial" w:cs="Arial"/>
                <w:color w:val="000000"/>
                <w:sz w:val="18"/>
                <w:szCs w:val="18"/>
              </w:rPr>
            </w:pPr>
            <w:r>
              <w:rPr>
                <w:rFonts w:ascii="Arial" w:hAnsi="Arial" w:cs="Arial"/>
                <w:color w:val="000000"/>
                <w:kern w:val="0"/>
                <w:sz w:val="18"/>
                <w:szCs w:val="18"/>
              </w:rPr>
              <w:t>198，107.00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FFA3">
            <w:pPr>
              <w:widowControl/>
              <w:jc w:val="left"/>
              <w:textAlignment w:val="center"/>
              <w:rPr>
                <w:rFonts w:ascii="Arial" w:hAnsi="Arial" w:cs="Arial"/>
                <w:color w:val="000000"/>
                <w:sz w:val="18"/>
                <w:szCs w:val="18"/>
              </w:rPr>
            </w:pPr>
            <w:r>
              <w:rPr>
                <w:rFonts w:ascii="Arial" w:hAnsi="Arial" w:cs="Arial"/>
                <w:color w:val="000000"/>
                <w:kern w:val="0"/>
                <w:sz w:val="18"/>
                <w:szCs w:val="18"/>
              </w:rPr>
              <w:t>198，107.00</w:t>
            </w:r>
          </w:p>
        </w:tc>
      </w:tr>
      <w:tr w14:paraId="4933856A">
        <w:tblPrEx>
          <w:tblCellMar>
            <w:top w:w="0" w:type="dxa"/>
            <w:left w:w="108" w:type="dxa"/>
            <w:bottom w:w="0" w:type="dxa"/>
            <w:right w:w="108" w:type="dxa"/>
          </w:tblCellMar>
        </w:tblPrEx>
        <w:trPr>
          <w:trHeight w:val="330" w:hRule="atLeast"/>
          <w:jc w:val="center"/>
        </w:trPr>
        <w:tc>
          <w:tcPr>
            <w:tcW w:w="2383" w:type="dxa"/>
            <w:vMerge w:val="continue"/>
            <w:tcBorders>
              <w:left w:val="single" w:color="000000" w:sz="4" w:space="0"/>
              <w:right w:val="single" w:color="000000" w:sz="4" w:space="0"/>
            </w:tcBorders>
            <w:shd w:val="clear" w:color="auto" w:fill="auto"/>
            <w:noWrap/>
            <w:vAlign w:val="center"/>
          </w:tcPr>
          <w:p w14:paraId="144AC3FE"/>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C730">
            <w:pPr>
              <w:widowControl/>
              <w:jc w:val="left"/>
              <w:textAlignment w:val="center"/>
              <w:rPr>
                <w:rFonts w:ascii="Arial" w:hAnsi="Arial" w:cs="Arial"/>
                <w:color w:val="000000"/>
                <w:sz w:val="20"/>
                <w:szCs w:val="20"/>
              </w:rPr>
            </w:pPr>
            <w:r>
              <w:rPr>
                <w:rFonts w:ascii="Arial" w:hAnsi="Arial" w:cs="Arial"/>
                <w:color w:val="000000"/>
                <w:kern w:val="0"/>
                <w:sz w:val="20"/>
                <w:szCs w:val="20"/>
              </w:rPr>
              <w:t>劳务费</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5D47">
            <w:pPr>
              <w:widowControl/>
              <w:jc w:val="left"/>
              <w:textAlignment w:val="center"/>
              <w:rPr>
                <w:rFonts w:ascii="Arial" w:hAnsi="Arial" w:cs="Arial"/>
                <w:color w:val="000000"/>
                <w:sz w:val="18"/>
                <w:szCs w:val="18"/>
              </w:rPr>
            </w:pPr>
            <w:r>
              <w:rPr>
                <w:rFonts w:ascii="Arial" w:hAnsi="Arial" w:cs="Arial"/>
                <w:color w:val="000000"/>
                <w:kern w:val="0"/>
                <w:sz w:val="18"/>
                <w:szCs w:val="18"/>
              </w:rPr>
              <w:t>8，450.00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37C1">
            <w:pPr>
              <w:widowControl/>
              <w:jc w:val="left"/>
              <w:textAlignment w:val="center"/>
              <w:rPr>
                <w:rFonts w:ascii="Arial" w:hAnsi="Arial" w:cs="Arial"/>
                <w:color w:val="000000"/>
                <w:sz w:val="18"/>
                <w:szCs w:val="18"/>
              </w:rPr>
            </w:pPr>
            <w:r>
              <w:rPr>
                <w:rFonts w:ascii="Arial" w:hAnsi="Arial" w:cs="Arial"/>
                <w:color w:val="000000"/>
                <w:kern w:val="0"/>
                <w:sz w:val="18"/>
                <w:szCs w:val="18"/>
              </w:rPr>
              <w:t>8，450.00</w:t>
            </w:r>
          </w:p>
        </w:tc>
      </w:tr>
      <w:tr w14:paraId="04544B9A">
        <w:tblPrEx>
          <w:tblCellMar>
            <w:top w:w="0" w:type="dxa"/>
            <w:left w:w="108" w:type="dxa"/>
            <w:bottom w:w="0" w:type="dxa"/>
            <w:right w:w="108" w:type="dxa"/>
          </w:tblCellMar>
        </w:tblPrEx>
        <w:trPr>
          <w:trHeight w:val="345" w:hRule="atLeast"/>
          <w:jc w:val="center"/>
        </w:trPr>
        <w:tc>
          <w:tcPr>
            <w:tcW w:w="2383" w:type="dxa"/>
            <w:vMerge w:val="continue"/>
            <w:tcBorders>
              <w:left w:val="single" w:color="000000" w:sz="4" w:space="0"/>
              <w:bottom w:val="single" w:color="000000" w:sz="4" w:space="0"/>
              <w:right w:val="single" w:color="000000" w:sz="4" w:space="0"/>
            </w:tcBorders>
            <w:shd w:val="clear" w:color="auto" w:fill="auto"/>
            <w:noWrap/>
            <w:vAlign w:val="center"/>
          </w:tcPr>
          <w:p w14:paraId="2DE30D10"/>
        </w:tc>
        <w:tc>
          <w:tcPr>
            <w:tcW w:w="2025" w:type="dxa"/>
            <w:tcBorders>
              <w:top w:val="single" w:color="000000" w:sz="4" w:space="0"/>
              <w:left w:val="single" w:color="000000" w:sz="4" w:space="0"/>
              <w:right w:val="single" w:color="000000" w:sz="4" w:space="0"/>
            </w:tcBorders>
            <w:shd w:val="clear" w:color="auto" w:fill="auto"/>
            <w:noWrap/>
            <w:vAlign w:val="center"/>
          </w:tcPr>
          <w:p w14:paraId="1B0824D1">
            <w:pPr>
              <w:widowControl/>
              <w:jc w:val="left"/>
              <w:textAlignment w:val="center"/>
              <w:rPr>
                <w:rFonts w:ascii="Arial" w:hAnsi="Arial" w:cs="Arial"/>
                <w:color w:val="000000"/>
                <w:sz w:val="20"/>
                <w:szCs w:val="20"/>
              </w:rPr>
            </w:pPr>
            <w:r>
              <w:rPr>
                <w:rFonts w:ascii="Arial" w:hAnsi="Arial" w:cs="Arial"/>
                <w:color w:val="000000"/>
                <w:kern w:val="0"/>
                <w:sz w:val="18"/>
                <w:szCs w:val="18"/>
              </w:rPr>
              <w:t>委托业务费</w:t>
            </w:r>
          </w:p>
        </w:tc>
        <w:tc>
          <w:tcPr>
            <w:tcW w:w="1920" w:type="dxa"/>
            <w:tcBorders>
              <w:top w:val="single" w:color="000000" w:sz="4" w:space="0"/>
              <w:left w:val="single" w:color="000000" w:sz="4" w:space="0"/>
              <w:right w:val="single" w:color="000000" w:sz="4" w:space="0"/>
            </w:tcBorders>
            <w:shd w:val="clear" w:color="auto" w:fill="auto"/>
            <w:noWrap/>
            <w:vAlign w:val="center"/>
          </w:tcPr>
          <w:p w14:paraId="0DDC0322">
            <w:pPr>
              <w:widowControl/>
              <w:jc w:val="left"/>
              <w:textAlignment w:val="center"/>
              <w:rPr>
                <w:rFonts w:ascii="Arial" w:hAnsi="Arial" w:cs="Arial"/>
                <w:color w:val="000000"/>
                <w:kern w:val="0"/>
                <w:sz w:val="18"/>
                <w:szCs w:val="18"/>
              </w:rPr>
            </w:pPr>
            <w:r>
              <w:rPr>
                <w:rFonts w:ascii="Arial" w:hAnsi="Arial" w:cs="Arial"/>
                <w:color w:val="000000"/>
                <w:kern w:val="0"/>
                <w:sz w:val="18"/>
                <w:szCs w:val="18"/>
              </w:rPr>
              <w:t>450，000.00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1727">
            <w:pPr>
              <w:widowControl/>
              <w:jc w:val="left"/>
              <w:textAlignment w:val="center"/>
              <w:rPr>
                <w:rFonts w:ascii="Arial" w:hAnsi="Arial" w:cs="Arial"/>
                <w:color w:val="000000"/>
                <w:kern w:val="0"/>
                <w:sz w:val="18"/>
                <w:szCs w:val="18"/>
              </w:rPr>
            </w:pPr>
            <w:r>
              <w:rPr>
                <w:rFonts w:ascii="Arial" w:hAnsi="Arial" w:cs="Arial"/>
                <w:color w:val="000000"/>
                <w:kern w:val="0"/>
                <w:sz w:val="18"/>
                <w:szCs w:val="18"/>
              </w:rPr>
              <w:t>450，000.00</w:t>
            </w:r>
          </w:p>
        </w:tc>
      </w:tr>
      <w:tr w14:paraId="7EF1F790">
        <w:tblPrEx>
          <w:tblCellMar>
            <w:top w:w="0" w:type="dxa"/>
            <w:left w:w="108" w:type="dxa"/>
            <w:bottom w:w="0" w:type="dxa"/>
            <w:right w:w="108" w:type="dxa"/>
          </w:tblCellMar>
        </w:tblPrEx>
        <w:trPr>
          <w:trHeight w:val="330" w:hRule="atLeast"/>
          <w:jc w:val="center"/>
        </w:trPr>
        <w:tc>
          <w:tcPr>
            <w:tcW w:w="44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4D6D">
            <w:pPr>
              <w:widowControl/>
              <w:jc w:val="left"/>
              <w:textAlignment w:val="center"/>
              <w:rPr>
                <w:rFonts w:ascii="Arial" w:hAnsi="Arial" w:cs="Arial"/>
                <w:color w:val="000000"/>
                <w:sz w:val="20"/>
                <w:szCs w:val="20"/>
              </w:rPr>
            </w:pPr>
            <w:r>
              <w:rPr>
                <w:rFonts w:ascii="Arial" w:hAnsi="Arial" w:cs="Arial"/>
                <w:color w:val="000000"/>
                <w:kern w:val="0"/>
                <w:sz w:val="20"/>
                <w:szCs w:val="20"/>
              </w:rPr>
              <w:t>合计(综合本位币)</w:t>
            </w:r>
          </w:p>
        </w:tc>
        <w:tc>
          <w:tcPr>
            <w:tcW w:w="19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6D8BBBB">
            <w:pPr>
              <w:widowControl/>
              <w:jc w:val="left"/>
              <w:textAlignment w:val="center"/>
              <w:rPr>
                <w:rFonts w:ascii="Arial" w:hAnsi="Arial" w:cs="Arial"/>
                <w:color w:val="000000"/>
                <w:kern w:val="0"/>
                <w:sz w:val="18"/>
                <w:szCs w:val="18"/>
              </w:rPr>
            </w:pPr>
            <w:r>
              <w:rPr>
                <w:rFonts w:hint="eastAsia" w:ascii="Arial" w:hAnsi="Arial" w:cs="Arial"/>
                <w:color w:val="000000"/>
                <w:kern w:val="0"/>
                <w:sz w:val="18"/>
                <w:szCs w:val="18"/>
                <w:lang w:val="zh-CN"/>
              </w:rPr>
              <w:t>661</w:t>
            </w:r>
            <w:r>
              <w:rPr>
                <w:rFonts w:ascii="Arial" w:hAnsi="Arial" w:cs="Arial"/>
                <w:color w:val="000000"/>
                <w:kern w:val="0"/>
                <w:sz w:val="18"/>
                <w:szCs w:val="18"/>
              </w:rPr>
              <w:t>，</w:t>
            </w:r>
            <w:r>
              <w:rPr>
                <w:rFonts w:hint="eastAsia" w:ascii="Arial" w:hAnsi="Arial" w:cs="Arial"/>
                <w:color w:val="000000"/>
                <w:kern w:val="0"/>
                <w:sz w:val="18"/>
                <w:szCs w:val="18"/>
                <w:lang w:val="zh-CN"/>
              </w:rPr>
              <w:t>904</w:t>
            </w:r>
            <w:r>
              <w:rPr>
                <w:rFonts w:ascii="Arial" w:hAnsi="Arial" w:cs="Arial"/>
                <w:color w:val="000000"/>
                <w:kern w:val="0"/>
                <w:sz w:val="18"/>
                <w:szCs w:val="18"/>
              </w:rPr>
              <w:t>.</w:t>
            </w:r>
            <w:r>
              <w:rPr>
                <w:rFonts w:hint="eastAsia" w:ascii="Arial" w:hAnsi="Arial" w:cs="Arial"/>
                <w:color w:val="000000"/>
                <w:kern w:val="0"/>
                <w:sz w:val="18"/>
                <w:szCs w:val="18"/>
                <w:lang w:val="zh-CN"/>
              </w:rPr>
              <w:t>18</w:t>
            </w:r>
          </w:p>
        </w:tc>
        <w:tc>
          <w:tcPr>
            <w:tcW w:w="181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4F4647C">
            <w:pPr>
              <w:widowControl/>
              <w:jc w:val="left"/>
              <w:textAlignment w:val="center"/>
              <w:rPr>
                <w:rFonts w:ascii="Arial" w:hAnsi="Arial" w:cs="Arial"/>
                <w:color w:val="000000"/>
                <w:kern w:val="0"/>
                <w:sz w:val="18"/>
                <w:szCs w:val="18"/>
              </w:rPr>
            </w:pPr>
            <w:r>
              <w:rPr>
                <w:rFonts w:hint="eastAsia" w:ascii="Arial" w:hAnsi="Arial" w:cs="Arial"/>
                <w:color w:val="000000"/>
                <w:kern w:val="0"/>
                <w:sz w:val="18"/>
                <w:szCs w:val="18"/>
                <w:lang w:val="zh-CN"/>
              </w:rPr>
              <w:t>661</w:t>
            </w:r>
            <w:r>
              <w:rPr>
                <w:rFonts w:ascii="Arial" w:hAnsi="Arial" w:cs="Arial"/>
                <w:color w:val="000000"/>
                <w:kern w:val="0"/>
                <w:sz w:val="18"/>
                <w:szCs w:val="18"/>
              </w:rPr>
              <w:t>，</w:t>
            </w:r>
            <w:r>
              <w:rPr>
                <w:rFonts w:hint="eastAsia" w:ascii="Arial" w:hAnsi="Arial" w:cs="Arial"/>
                <w:color w:val="000000"/>
                <w:kern w:val="0"/>
                <w:sz w:val="18"/>
                <w:szCs w:val="18"/>
                <w:lang w:val="zh-CN"/>
              </w:rPr>
              <w:t>904</w:t>
            </w:r>
            <w:r>
              <w:rPr>
                <w:rFonts w:ascii="Arial" w:hAnsi="Arial" w:cs="Arial"/>
                <w:color w:val="000000"/>
                <w:kern w:val="0"/>
                <w:sz w:val="18"/>
                <w:szCs w:val="18"/>
              </w:rPr>
              <w:t>.</w:t>
            </w:r>
            <w:r>
              <w:rPr>
                <w:rFonts w:hint="eastAsia" w:ascii="Arial" w:hAnsi="Arial" w:cs="Arial"/>
                <w:color w:val="000000"/>
                <w:kern w:val="0"/>
                <w:sz w:val="18"/>
                <w:szCs w:val="18"/>
                <w:lang w:val="zh-CN"/>
              </w:rPr>
              <w:t>18</w:t>
            </w:r>
          </w:p>
        </w:tc>
      </w:tr>
    </w:tbl>
    <w:p w14:paraId="07BCF0DE">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（三）项目财务管理情况。</w:t>
      </w:r>
    </w:p>
    <w:p w14:paraId="0E1E1515">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综上所述，项目资金的使用安全、规范、有效，资金支付范围、支付标准、支付进度、支付依据等合规合法。</w:t>
      </w:r>
    </w:p>
    <w:p w14:paraId="460CA37F">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三、项目实施及管理情况</w:t>
      </w:r>
    </w:p>
    <w:p w14:paraId="687FBCB9">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（一）项目组织架构及实施流程。</w:t>
      </w:r>
    </w:p>
    <w:p w14:paraId="59DFCE35">
      <w:pPr>
        <w:spacing w:line="578" w:lineRule="exact"/>
        <w:ind w:firstLine="640"/>
        <w:rPr>
          <w:rFonts w:eastAsia="仿宋_GB2312" w:cs="仿宋_GB2312"/>
          <w:b/>
          <w:kern w:val="0"/>
          <w:sz w:val="32"/>
          <w:szCs w:val="32"/>
        </w:rPr>
      </w:pPr>
      <w:r>
        <w:rPr>
          <w:rFonts w:hint="eastAsia" w:eastAsia="仿宋_GB2312" w:cs="仿宋_GB2312"/>
          <w:b/>
          <w:kern w:val="0"/>
          <w:sz w:val="32"/>
          <w:szCs w:val="32"/>
        </w:rPr>
        <w:t>1、项目组织架构</w:t>
      </w:r>
    </w:p>
    <w:p w14:paraId="634879B3">
      <w:pPr>
        <w:spacing w:line="578" w:lineRule="exact"/>
        <w:ind w:firstLine="640"/>
        <w:rPr>
          <w:rFonts w:eastAsia="仿宋_GB2312" w:cs="仿宋_GB2312"/>
          <w:kern w:val="0"/>
          <w:sz w:val="32"/>
          <w:szCs w:val="32"/>
        </w:rPr>
      </w:pPr>
      <w:r>
        <w:rPr>
          <w:rFonts w:hint="eastAsia" w:eastAsia="仿宋_GB2312" w:cs="仿宋_GB2312"/>
          <w:kern w:val="0"/>
          <w:sz w:val="32"/>
          <w:szCs w:val="32"/>
        </w:rPr>
        <w:t>评价组人员构成和职责分工见下表。</w:t>
      </w:r>
    </w:p>
    <w:tbl>
      <w:tblPr>
        <w:tblStyle w:val="18"/>
        <w:tblW w:w="813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7F1C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715" w:type="dxa"/>
            <w:tcBorders>
              <w:tl2br w:val="nil"/>
              <w:tr2bl w:val="nil"/>
            </w:tcBorders>
            <w:vAlign w:val="center"/>
          </w:tcPr>
          <w:p w14:paraId="2DCAAD1E">
            <w:pPr>
              <w:jc w:val="center"/>
              <w:rPr>
                <w:sz w:val="24"/>
              </w:rPr>
            </w:pPr>
            <w:r>
              <w:rPr>
                <w:sz w:val="24"/>
              </w:rPr>
              <w:t>姓  名</w:t>
            </w:r>
          </w:p>
        </w:tc>
        <w:tc>
          <w:tcPr>
            <w:tcW w:w="6416" w:type="dxa"/>
            <w:tcBorders>
              <w:tl2br w:val="nil"/>
              <w:tr2bl w:val="nil"/>
            </w:tcBorders>
            <w:vAlign w:val="center"/>
          </w:tcPr>
          <w:p w14:paraId="7B50428D">
            <w:pPr>
              <w:jc w:val="center"/>
              <w:rPr>
                <w:sz w:val="24"/>
              </w:rPr>
            </w:pPr>
            <w:r>
              <w:rPr>
                <w:sz w:val="24"/>
              </w:rPr>
              <w:t>职责分工</w:t>
            </w:r>
          </w:p>
        </w:tc>
      </w:tr>
      <w:tr w14:paraId="025C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7EAF779D">
            <w:pPr>
              <w:jc w:val="center"/>
              <w:rPr>
                <w:sz w:val="24"/>
              </w:rPr>
            </w:pPr>
            <w:r>
              <w:rPr>
                <w:sz w:val="24"/>
              </w:rPr>
              <w:t>杨晓峰</w:t>
            </w:r>
          </w:p>
        </w:tc>
        <w:tc>
          <w:tcPr>
            <w:tcW w:w="6416" w:type="dxa"/>
            <w:tcBorders>
              <w:tl2br w:val="nil"/>
              <w:tr2bl w:val="nil"/>
            </w:tcBorders>
            <w:vAlign w:val="center"/>
          </w:tcPr>
          <w:p w14:paraId="2F1A57B6">
            <w:pPr>
              <w:jc w:val="center"/>
              <w:rPr>
                <w:sz w:val="24"/>
              </w:rPr>
            </w:pPr>
            <w:r>
              <w:rPr>
                <w:sz w:val="24"/>
              </w:rPr>
              <w:t>组长，负责蔬菜团队评价的全面工作。</w:t>
            </w:r>
          </w:p>
        </w:tc>
      </w:tr>
      <w:tr w14:paraId="54B7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2EFA666D">
            <w:pPr>
              <w:jc w:val="center"/>
              <w:rPr>
                <w:sz w:val="24"/>
              </w:rPr>
            </w:pPr>
            <w:r>
              <w:rPr>
                <w:rFonts w:hint="eastAsia"/>
                <w:sz w:val="24"/>
              </w:rPr>
              <w:t>杜宣延</w:t>
            </w:r>
          </w:p>
        </w:tc>
        <w:tc>
          <w:tcPr>
            <w:tcW w:w="6416" w:type="dxa"/>
            <w:tcBorders>
              <w:tl2br w:val="nil"/>
              <w:tr2bl w:val="nil"/>
            </w:tcBorders>
            <w:vAlign w:val="center"/>
          </w:tcPr>
          <w:p w14:paraId="5E636792">
            <w:pPr>
              <w:jc w:val="center"/>
              <w:rPr>
                <w:sz w:val="24"/>
              </w:rPr>
            </w:pPr>
            <w:r>
              <w:rPr>
                <w:sz w:val="24"/>
              </w:rPr>
              <w:t>副组长，团队评价材料收集、整理。</w:t>
            </w:r>
          </w:p>
        </w:tc>
      </w:tr>
      <w:tr w14:paraId="737F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715" w:type="dxa"/>
            <w:tcBorders>
              <w:tl2br w:val="nil"/>
              <w:tr2bl w:val="nil"/>
            </w:tcBorders>
            <w:vAlign w:val="center"/>
          </w:tcPr>
          <w:p w14:paraId="55E6A039">
            <w:pPr>
              <w:jc w:val="center"/>
              <w:rPr>
                <w:sz w:val="24"/>
              </w:rPr>
            </w:pPr>
            <w:r>
              <w:rPr>
                <w:sz w:val="24"/>
              </w:rPr>
              <w:t>黄艳</w:t>
            </w:r>
          </w:p>
        </w:tc>
        <w:tc>
          <w:tcPr>
            <w:tcW w:w="6416" w:type="dxa"/>
            <w:tcBorders>
              <w:tl2br w:val="nil"/>
              <w:tr2bl w:val="nil"/>
            </w:tcBorders>
            <w:vAlign w:val="center"/>
          </w:tcPr>
          <w:p w14:paraId="29C944A2">
            <w:pPr>
              <w:jc w:val="center"/>
              <w:rPr>
                <w:sz w:val="24"/>
              </w:rPr>
            </w:pPr>
            <w:r>
              <w:rPr>
                <w:sz w:val="24"/>
              </w:rPr>
              <w:t>成员，协助蔬菜团队评价材料收集、整理。</w:t>
            </w:r>
          </w:p>
        </w:tc>
      </w:tr>
      <w:tr w14:paraId="74D9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15" w:type="dxa"/>
            <w:tcBorders>
              <w:tl2br w:val="nil"/>
              <w:tr2bl w:val="nil"/>
            </w:tcBorders>
            <w:vAlign w:val="center"/>
          </w:tcPr>
          <w:p w14:paraId="558BADAF">
            <w:pPr>
              <w:jc w:val="center"/>
              <w:rPr>
                <w:sz w:val="24"/>
              </w:rPr>
            </w:pPr>
            <w:r>
              <w:rPr>
                <w:rFonts w:hint="eastAsia"/>
                <w:sz w:val="24"/>
              </w:rPr>
              <w:t>李佳佳</w:t>
            </w:r>
          </w:p>
        </w:tc>
        <w:tc>
          <w:tcPr>
            <w:tcW w:w="6416" w:type="dxa"/>
            <w:tcBorders>
              <w:tl2br w:val="nil"/>
              <w:tr2bl w:val="nil"/>
            </w:tcBorders>
            <w:vAlign w:val="center"/>
          </w:tcPr>
          <w:p w14:paraId="23354ED2">
            <w:pPr>
              <w:jc w:val="center"/>
              <w:rPr>
                <w:sz w:val="24"/>
              </w:rPr>
            </w:pPr>
            <w:r>
              <w:rPr>
                <w:sz w:val="24"/>
              </w:rPr>
              <w:t>成员，协助蔬菜团队评价材料收集、整理。</w:t>
            </w:r>
          </w:p>
        </w:tc>
      </w:tr>
      <w:tr w14:paraId="182B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15" w:type="dxa"/>
            <w:tcBorders>
              <w:tl2br w:val="nil"/>
              <w:tr2bl w:val="nil"/>
            </w:tcBorders>
            <w:vAlign w:val="center"/>
          </w:tcPr>
          <w:p w14:paraId="31D5A1E3">
            <w:pPr>
              <w:jc w:val="center"/>
              <w:rPr>
                <w:sz w:val="24"/>
              </w:rPr>
            </w:pPr>
            <w:r>
              <w:rPr>
                <w:rFonts w:hint="eastAsia"/>
                <w:sz w:val="24"/>
              </w:rPr>
              <w:t>吕婉茹</w:t>
            </w:r>
          </w:p>
        </w:tc>
        <w:tc>
          <w:tcPr>
            <w:tcW w:w="6416" w:type="dxa"/>
            <w:tcBorders>
              <w:tl2br w:val="nil"/>
              <w:tr2bl w:val="nil"/>
            </w:tcBorders>
            <w:vAlign w:val="center"/>
          </w:tcPr>
          <w:p w14:paraId="6B92BCF5">
            <w:pPr>
              <w:jc w:val="center"/>
              <w:rPr>
                <w:sz w:val="24"/>
              </w:rPr>
            </w:pPr>
            <w:r>
              <w:rPr>
                <w:sz w:val="24"/>
              </w:rPr>
              <w:t>成员，负责</w:t>
            </w:r>
            <w:r>
              <w:rPr>
                <w:rFonts w:hint="eastAsia"/>
                <w:sz w:val="24"/>
              </w:rPr>
              <w:t>马玲薯</w:t>
            </w:r>
            <w:r>
              <w:rPr>
                <w:sz w:val="24"/>
              </w:rPr>
              <w:t>团队评价材料撰写。</w:t>
            </w:r>
          </w:p>
        </w:tc>
      </w:tr>
      <w:tr w14:paraId="1AAB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15" w:type="dxa"/>
            <w:tcBorders>
              <w:tl2br w:val="nil"/>
              <w:tr2bl w:val="nil"/>
            </w:tcBorders>
            <w:vAlign w:val="center"/>
          </w:tcPr>
          <w:p w14:paraId="19779C5E">
            <w:pPr>
              <w:jc w:val="center"/>
              <w:rPr>
                <w:sz w:val="24"/>
              </w:rPr>
            </w:pPr>
            <w:r>
              <w:rPr>
                <w:rFonts w:hint="eastAsia"/>
                <w:sz w:val="24"/>
              </w:rPr>
              <w:t>陈华</w:t>
            </w:r>
          </w:p>
        </w:tc>
        <w:tc>
          <w:tcPr>
            <w:tcW w:w="6416" w:type="dxa"/>
            <w:tcBorders>
              <w:tl2br w:val="nil"/>
              <w:tr2bl w:val="nil"/>
            </w:tcBorders>
            <w:vAlign w:val="center"/>
          </w:tcPr>
          <w:p w14:paraId="46560D47">
            <w:pPr>
              <w:jc w:val="center"/>
              <w:rPr>
                <w:sz w:val="24"/>
              </w:rPr>
            </w:pPr>
            <w:r>
              <w:rPr>
                <w:sz w:val="24"/>
              </w:rPr>
              <w:t>成员，负责</w:t>
            </w:r>
            <w:r>
              <w:rPr>
                <w:rFonts w:hint="eastAsia"/>
                <w:sz w:val="24"/>
              </w:rPr>
              <w:t>水稻</w:t>
            </w:r>
            <w:r>
              <w:rPr>
                <w:sz w:val="24"/>
              </w:rPr>
              <w:t>团队评价材料撰写。</w:t>
            </w:r>
          </w:p>
        </w:tc>
      </w:tr>
    </w:tbl>
    <w:p w14:paraId="1C362520">
      <w:pPr>
        <w:spacing w:line="578" w:lineRule="exact"/>
        <w:ind w:firstLine="640"/>
        <w:rPr>
          <w:rFonts w:eastAsia="仿宋_GB2312" w:cs="仿宋_GB2312"/>
          <w:b/>
          <w:kern w:val="0"/>
          <w:sz w:val="32"/>
          <w:szCs w:val="32"/>
        </w:rPr>
      </w:pPr>
      <w:r>
        <w:rPr>
          <w:rFonts w:hint="eastAsia" w:eastAsia="仿宋_GB2312" w:cs="仿宋_GB2312"/>
          <w:b/>
          <w:kern w:val="0"/>
          <w:sz w:val="32"/>
          <w:szCs w:val="32"/>
        </w:rPr>
        <w:t>2.实施流程</w:t>
      </w:r>
    </w:p>
    <w:p w14:paraId="7E9E2AEF">
      <w:pPr>
        <w:spacing w:line="578" w:lineRule="exact"/>
        <w:ind w:firstLine="640"/>
        <w:rPr>
          <w:rFonts w:eastAsia="仿宋_GB2312" w:cs="仿宋_GB2312"/>
          <w:kern w:val="0"/>
          <w:sz w:val="32"/>
          <w:szCs w:val="32"/>
        </w:rPr>
      </w:pPr>
      <w:r>
        <w:rPr>
          <w:rFonts w:hint="eastAsia" w:eastAsia="仿宋_GB2312" w:cs="仿宋_GB2312"/>
          <w:kern w:val="0"/>
          <w:sz w:val="32"/>
          <w:szCs w:val="32"/>
        </w:rPr>
        <w:t>制定年度目标与工作计划，依据各合作单位分配任务，采用集中式、分组式开展工作。在活动过程中，通过专属微信群进行信息共享与即时沟通，确保工作顺利进行。</w:t>
      </w:r>
    </w:p>
    <w:p w14:paraId="18A1196A">
      <w:pPr>
        <w:spacing w:line="578" w:lineRule="exact"/>
        <w:ind w:firstLine="640"/>
        <w:rPr>
          <w:rFonts w:eastAsia="仿宋_GB2312" w:cs="仿宋_GB2312"/>
          <w:b/>
          <w:kern w:val="0"/>
          <w:sz w:val="32"/>
          <w:szCs w:val="32"/>
        </w:rPr>
      </w:pPr>
      <w:r>
        <w:rPr>
          <w:rFonts w:hint="eastAsia" w:eastAsia="仿宋_GB2312" w:cs="仿宋_GB2312"/>
          <w:b/>
          <w:kern w:val="0"/>
          <w:sz w:val="32"/>
          <w:szCs w:val="32"/>
        </w:rPr>
        <w:t>（二）项目管理情况。</w:t>
      </w:r>
    </w:p>
    <w:p w14:paraId="534166C7">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承担单位选择技术骨干组成专门的项目组，项目组负责编写项目实施方案，组织项目实施，撰写总结等，项目下达单位对项目制定的实施方案进行审核，并根据项目实施方案对项目实施过程进行监督和检查，在项目开展过程中，项目主持单位进行了2次项目进度实地检查；院财务室负责对项目经费开支情况进行审核；项目承担单位科技管理科对项目申报、实施等进行全程监督和管理。</w:t>
      </w:r>
    </w:p>
    <w:p w14:paraId="69690360">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（三）项目监管情况。</w:t>
      </w:r>
    </w:p>
    <w:p w14:paraId="3C542A3E">
      <w:pPr>
        <w:spacing w:line="578" w:lineRule="exact"/>
        <w:ind w:firstLine="640"/>
        <w:rPr>
          <w:rFonts w:eastAsia="仿宋_GB2312" w:cs="仿宋_GB2312"/>
          <w:kern w:val="0"/>
          <w:sz w:val="32"/>
          <w:szCs w:val="32"/>
        </w:rPr>
      </w:pPr>
      <w:r>
        <w:rPr>
          <w:rFonts w:hint="eastAsia" w:eastAsia="仿宋_GB2312" w:cs="仿宋_GB2312"/>
          <w:kern w:val="0"/>
          <w:sz w:val="32"/>
          <w:szCs w:val="32"/>
        </w:rPr>
        <w:t>主管部门要求团队定期提供工作推进情况，提供相关活动资料和数据。每年组织单位学术委员会对项目进展情况进行年度项目考核。</w:t>
      </w:r>
    </w:p>
    <w:p w14:paraId="45FE1E1C">
      <w:pPr>
        <w:pStyle w:val="39"/>
        <w:spacing w:before="0" w:beforeAutospacing="0" w:after="0" w:afterAutospacing="0" w:line="600" w:lineRule="exact"/>
        <w:ind w:firstLine="720"/>
        <w:jc w:val="both"/>
        <w:rPr>
          <w:rFonts w:eastAsia="仿宋_GB2312" w:cs="仿宋_GB2312"/>
          <w:sz w:val="32"/>
          <w:szCs w:val="32"/>
        </w:rPr>
      </w:pPr>
      <w:r>
        <w:rPr>
          <w:rFonts w:hint="eastAsia" w:ascii="黑体" w:hAnsi="黑体" w:eastAsia="黑体"/>
          <w:color w:val="000000"/>
          <w:sz w:val="32"/>
          <w:szCs w:val="32"/>
        </w:rPr>
        <w:t>四、项目绩效情况</w:t>
      </w:r>
    </w:p>
    <w:p w14:paraId="0E838E94">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项目绩效完成情况表</w:t>
      </w:r>
    </w:p>
    <w:tbl>
      <w:tblPr>
        <w:tblStyle w:val="18"/>
        <w:tblW w:w="8520" w:type="dxa"/>
        <w:tblInd w:w="93" w:type="dxa"/>
        <w:tblLayout w:type="fixed"/>
        <w:tblCellMar>
          <w:top w:w="0" w:type="dxa"/>
          <w:left w:w="108" w:type="dxa"/>
          <w:bottom w:w="0" w:type="dxa"/>
          <w:right w:w="108" w:type="dxa"/>
        </w:tblCellMar>
      </w:tblPr>
      <w:tblGrid>
        <w:gridCol w:w="778"/>
        <w:gridCol w:w="750"/>
        <w:gridCol w:w="615"/>
        <w:gridCol w:w="1950"/>
        <w:gridCol w:w="1140"/>
        <w:gridCol w:w="660"/>
        <w:gridCol w:w="825"/>
        <w:gridCol w:w="525"/>
        <w:gridCol w:w="600"/>
        <w:gridCol w:w="677"/>
      </w:tblGrid>
      <w:tr w14:paraId="36AE432F">
        <w:tblPrEx>
          <w:tblCellMar>
            <w:top w:w="0" w:type="dxa"/>
            <w:left w:w="108" w:type="dxa"/>
            <w:bottom w:w="0" w:type="dxa"/>
            <w:right w:w="108" w:type="dxa"/>
          </w:tblCellMar>
        </w:tblPrEx>
        <w:trPr>
          <w:trHeight w:val="612" w:hRule="atLeast"/>
        </w:trPr>
        <w:tc>
          <w:tcPr>
            <w:tcW w:w="778" w:type="dxa"/>
            <w:vMerge w:val="restart"/>
            <w:tcBorders>
              <w:top w:val="single" w:color="000000" w:sz="4" w:space="0"/>
              <w:left w:val="single" w:color="000000" w:sz="4" w:space="0"/>
              <w:right w:val="single" w:color="000000" w:sz="4" w:space="0"/>
            </w:tcBorders>
            <w:shd w:val="clear" w:color="auto" w:fill="auto"/>
            <w:noWrap/>
            <w:vAlign w:val="center"/>
          </w:tcPr>
          <w:p w14:paraId="7DCA476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预算执行情况（10分）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974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年度预算数（万元）</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BBF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年初预算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ED4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调整后预算数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7A2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预算执行数</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170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预算执行率</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CE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权重</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51A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14:paraId="4B4194C2">
        <w:tblPrEx>
          <w:tblCellMar>
            <w:top w:w="0" w:type="dxa"/>
            <w:left w:w="108" w:type="dxa"/>
            <w:bottom w:w="0" w:type="dxa"/>
            <w:right w:w="108" w:type="dxa"/>
          </w:tblCellMar>
        </w:tblPrEx>
        <w:trPr>
          <w:trHeight w:val="612" w:hRule="atLeast"/>
        </w:trPr>
        <w:tc>
          <w:tcPr>
            <w:tcW w:w="778" w:type="dxa"/>
            <w:vMerge w:val="continue"/>
            <w:tcBorders>
              <w:left w:val="single" w:color="000000" w:sz="4" w:space="0"/>
              <w:bottom w:val="single" w:color="000000" w:sz="4" w:space="0"/>
              <w:right w:val="single" w:color="000000" w:sz="4" w:space="0"/>
            </w:tcBorders>
            <w:shd w:val="clear" w:color="auto" w:fill="auto"/>
            <w:noWrap/>
            <w:vAlign w:val="center"/>
          </w:tcPr>
          <w:p w14:paraId="6EE1F230"/>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53B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57F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8F4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D60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66.190418</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AE4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66.19042%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F9A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A9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w:t>
            </w:r>
          </w:p>
        </w:tc>
      </w:tr>
      <w:tr w14:paraId="5152E073">
        <w:tblPrEx>
          <w:tblCellMar>
            <w:top w:w="0" w:type="dxa"/>
            <w:left w:w="108" w:type="dxa"/>
            <w:bottom w:w="0" w:type="dxa"/>
            <w:right w:w="108" w:type="dxa"/>
          </w:tblCellMar>
        </w:tblPrEx>
        <w:trPr>
          <w:trHeight w:val="612"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05FB">
            <w:pPr>
              <w:widowControl/>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E566">
            <w:pPr>
              <w:widowControl/>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330E">
            <w:pPr>
              <w:widowControl/>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83AE">
            <w:pPr>
              <w:widowControl/>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9267">
            <w:pPr>
              <w:widowControl/>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51DA">
            <w:pPr>
              <w:widowControl/>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73B3">
            <w:pPr>
              <w:widowControl/>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C98C">
            <w:pPr>
              <w:widowControl/>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9CFF">
            <w:pPr>
              <w:widowControl/>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CAB2">
            <w:pPr>
              <w:widowControl/>
              <w:jc w:val="center"/>
              <w:textAlignment w:val="center"/>
              <w:rPr>
                <w:rFonts w:ascii="宋体" w:hAnsi="宋体" w:cs="宋体"/>
                <w:color w:val="000000"/>
                <w:sz w:val="18"/>
                <w:szCs w:val="18"/>
              </w:rPr>
            </w:pPr>
            <w:r>
              <w:rPr>
                <w:rFonts w:ascii="宋体" w:hAnsi="宋体" w:cs="宋体"/>
                <w:color w:val="000000"/>
                <w:kern w:val="0"/>
                <w:sz w:val="18"/>
                <w:szCs w:val="18"/>
              </w:rPr>
              <w:t>得分</w:t>
            </w:r>
          </w:p>
        </w:tc>
      </w:tr>
      <w:tr w14:paraId="6D72630B">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0F23"/>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D146">
            <w:pPr>
              <w:widowControl/>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AE45">
            <w:pPr>
              <w:widowControl/>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65D9">
            <w:pPr>
              <w:widowControl/>
              <w:jc w:val="center"/>
              <w:textAlignment w:val="center"/>
              <w:rPr>
                <w:rFonts w:ascii="宋体" w:hAnsi="宋体" w:cs="宋体"/>
                <w:color w:val="000000"/>
                <w:sz w:val="18"/>
                <w:szCs w:val="18"/>
              </w:rPr>
            </w:pPr>
            <w:r>
              <w:rPr>
                <w:rFonts w:ascii="宋体" w:hAnsi="宋体" w:cs="宋体"/>
                <w:color w:val="000000"/>
                <w:kern w:val="0"/>
                <w:sz w:val="18"/>
                <w:szCs w:val="18"/>
              </w:rPr>
              <w:t>技术指导服务面积</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9D57">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B4BC">
            <w:pPr>
              <w:widowControl/>
              <w:jc w:val="center"/>
              <w:textAlignment w:val="center"/>
              <w:rPr>
                <w:rFonts w:ascii="宋体" w:hAnsi="宋体" w:cs="宋体"/>
                <w:color w:val="000000"/>
                <w:sz w:val="18"/>
                <w:szCs w:val="18"/>
              </w:rPr>
            </w:pPr>
            <w:r>
              <w:rPr>
                <w:rFonts w:ascii="宋体" w:hAnsi="宋体" w:cs="宋体"/>
                <w:color w:val="000000"/>
                <w:kern w:val="0"/>
                <w:sz w:val="18"/>
                <w:szCs w:val="18"/>
              </w:rPr>
              <w:t>0.4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88D8">
            <w:pPr>
              <w:widowControl/>
              <w:jc w:val="center"/>
              <w:textAlignment w:val="center"/>
              <w:rPr>
                <w:rFonts w:ascii="宋体" w:hAnsi="宋体" w:cs="宋体"/>
                <w:color w:val="000000"/>
                <w:sz w:val="18"/>
                <w:szCs w:val="18"/>
              </w:rPr>
            </w:pPr>
            <w:r>
              <w:rPr>
                <w:rFonts w:ascii="宋体" w:hAnsi="宋体" w:cs="宋体"/>
                <w:color w:val="000000"/>
                <w:kern w:val="0"/>
                <w:sz w:val="18"/>
                <w:szCs w:val="18"/>
              </w:rPr>
              <w:t>万亩</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31AC">
            <w:pPr>
              <w:widowControl/>
              <w:jc w:val="center"/>
              <w:textAlignment w:val="center"/>
              <w:rPr>
                <w:rFonts w:cs="微软雅黑" w:asciiTheme="minorEastAsia" w:hAnsiTheme="minorEastAsia" w:eastAsiaTheme="minorEastAsia"/>
                <w:i/>
                <w:color w:val="000000"/>
                <w:sz w:val="16"/>
                <w:szCs w:val="16"/>
              </w:rPr>
            </w:pPr>
            <w:r>
              <w:rPr>
                <w:rFonts w:cs="微软雅黑" w:asciiTheme="minorEastAsia" w:hAnsiTheme="minorEastAsia" w:eastAsiaTheme="minorEastAsia"/>
                <w:i/>
                <w:color w:val="000000"/>
                <w:kern w:val="0"/>
                <w:sz w:val="16"/>
                <w:szCs w:val="16"/>
              </w:rPr>
              <w:t>0.5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95BD">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E321">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509448B3">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59DB"/>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938E"/>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495C"/>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19D0">
            <w:pPr>
              <w:widowControl/>
              <w:jc w:val="center"/>
              <w:textAlignment w:val="center"/>
              <w:rPr>
                <w:rFonts w:ascii="宋体" w:hAnsi="宋体" w:cs="宋体"/>
                <w:color w:val="000000"/>
                <w:sz w:val="18"/>
                <w:szCs w:val="18"/>
              </w:rPr>
            </w:pPr>
            <w:r>
              <w:rPr>
                <w:rFonts w:ascii="宋体" w:hAnsi="宋体" w:cs="宋体"/>
                <w:color w:val="000000"/>
                <w:kern w:val="0"/>
                <w:sz w:val="18"/>
                <w:szCs w:val="18"/>
              </w:rPr>
              <w:t>到示范县或示范基地指导</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1021">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9493">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B69B">
            <w:pPr>
              <w:widowControl/>
              <w:jc w:val="center"/>
              <w:textAlignment w:val="center"/>
              <w:rPr>
                <w:rFonts w:ascii="宋体" w:hAnsi="宋体" w:cs="宋体"/>
                <w:color w:val="000000"/>
                <w:sz w:val="18"/>
                <w:szCs w:val="18"/>
              </w:rPr>
            </w:pPr>
            <w:r>
              <w:rPr>
                <w:rFonts w:ascii="宋体" w:hAnsi="宋体" w:cs="宋体"/>
                <w:color w:val="000000"/>
                <w:kern w:val="0"/>
                <w:sz w:val="18"/>
                <w:szCs w:val="18"/>
              </w:rPr>
              <w:t>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DEBF">
            <w:pPr>
              <w:widowControl/>
              <w:jc w:val="center"/>
              <w:textAlignment w:val="center"/>
              <w:rPr>
                <w:rFonts w:cs="微软雅黑" w:asciiTheme="minorEastAsia" w:hAnsiTheme="minorEastAsia" w:eastAsiaTheme="minorEastAsia"/>
                <w:i/>
                <w:color w:val="000000"/>
                <w:sz w:val="16"/>
                <w:szCs w:val="16"/>
              </w:rPr>
            </w:pPr>
            <w:r>
              <w:rPr>
                <w:rFonts w:cs="微软雅黑" w:asciiTheme="minorEastAsia" w:hAnsiTheme="minorEastAsia" w:eastAsiaTheme="minorEastAsia"/>
                <w:i/>
                <w:color w:val="000000"/>
                <w:kern w:val="0"/>
                <w:sz w:val="16"/>
                <w:szCs w:val="16"/>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4D56">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9A9B">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4B79529F">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919D"/>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EDE9"/>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237F"/>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69EF">
            <w:pPr>
              <w:widowControl/>
              <w:jc w:val="center"/>
              <w:textAlignment w:val="center"/>
              <w:rPr>
                <w:rFonts w:ascii="宋体" w:hAnsi="宋体" w:cs="宋体"/>
                <w:color w:val="000000"/>
                <w:sz w:val="18"/>
                <w:szCs w:val="18"/>
              </w:rPr>
            </w:pPr>
            <w:r>
              <w:rPr>
                <w:rFonts w:ascii="宋体" w:hAnsi="宋体" w:cs="宋体"/>
                <w:color w:val="000000"/>
                <w:kern w:val="0"/>
                <w:sz w:val="18"/>
                <w:szCs w:val="18"/>
              </w:rPr>
              <w:t>转化稻-菜(薯)新品种</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840E">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E389">
            <w:pPr>
              <w:widowControl/>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2694">
            <w:pPr>
              <w:widowControl/>
              <w:jc w:val="center"/>
              <w:textAlignment w:val="center"/>
              <w:rPr>
                <w:rFonts w:ascii="宋体" w:hAnsi="宋体" w:cs="宋体"/>
                <w:color w:val="000000"/>
                <w:sz w:val="18"/>
                <w:szCs w:val="18"/>
              </w:rPr>
            </w:pPr>
            <w:r>
              <w:rPr>
                <w:rFonts w:ascii="宋体" w:hAnsi="宋体" w:cs="宋体"/>
                <w:color w:val="000000"/>
                <w:kern w:val="0"/>
                <w:sz w:val="18"/>
                <w:szCs w:val="18"/>
              </w:rPr>
              <w:t>个</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D99D">
            <w:pPr>
              <w:widowControl/>
              <w:jc w:val="center"/>
              <w:textAlignment w:val="center"/>
              <w:rPr>
                <w:rFonts w:cs="微软雅黑" w:asciiTheme="minorEastAsia" w:hAnsiTheme="minorEastAsia" w:eastAsiaTheme="minorEastAsia"/>
                <w:i/>
                <w:color w:val="000000"/>
                <w:sz w:val="16"/>
                <w:szCs w:val="16"/>
              </w:rPr>
            </w:pPr>
            <w:r>
              <w:rPr>
                <w:rFonts w:cs="微软雅黑" w:asciiTheme="minorEastAsia" w:hAnsiTheme="minorEastAsia" w:eastAsiaTheme="minorEastAsia"/>
                <w:i/>
                <w:color w:val="000000"/>
                <w:kern w:val="0"/>
                <w:sz w:val="16"/>
                <w:szCs w:val="16"/>
              </w:rPr>
              <w:t>8</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15F8">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64A7">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409835F2">
        <w:tblPrEx>
          <w:tblCellMar>
            <w:top w:w="0" w:type="dxa"/>
            <w:left w:w="108" w:type="dxa"/>
            <w:bottom w:w="0" w:type="dxa"/>
            <w:right w:w="108" w:type="dxa"/>
          </w:tblCellMar>
        </w:tblPrEx>
        <w:trPr>
          <w:trHeight w:val="446"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3968"/>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77C0"/>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2A9D"/>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CA24">
            <w:pPr>
              <w:widowControl/>
              <w:jc w:val="center"/>
              <w:textAlignment w:val="center"/>
              <w:rPr>
                <w:rFonts w:ascii="宋体" w:hAnsi="宋体" w:cs="宋体"/>
                <w:color w:val="000000"/>
                <w:sz w:val="18"/>
                <w:szCs w:val="18"/>
              </w:rPr>
            </w:pPr>
            <w:r>
              <w:rPr>
                <w:rFonts w:ascii="宋体" w:hAnsi="宋体" w:cs="宋体"/>
                <w:color w:val="000000"/>
                <w:kern w:val="0"/>
                <w:sz w:val="18"/>
                <w:szCs w:val="18"/>
              </w:rPr>
              <w:t>培训指导人次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252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8AE9">
            <w:pPr>
              <w:widowControl/>
              <w:jc w:val="center"/>
              <w:textAlignment w:val="center"/>
              <w:rPr>
                <w:rFonts w:ascii="宋体" w:hAnsi="宋体" w:cs="宋体"/>
                <w:color w:val="000000"/>
                <w:sz w:val="18"/>
                <w:szCs w:val="18"/>
              </w:rPr>
            </w:pPr>
            <w:r>
              <w:rPr>
                <w:rFonts w:ascii="宋体" w:hAnsi="宋体" w:cs="宋体"/>
                <w:color w:val="000000"/>
                <w:kern w:val="0"/>
                <w:sz w:val="18"/>
                <w:szCs w:val="18"/>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3E6D">
            <w:pPr>
              <w:widowControl/>
              <w:jc w:val="center"/>
              <w:textAlignment w:val="center"/>
              <w:rPr>
                <w:rFonts w:ascii="宋体" w:hAnsi="宋体" w:cs="宋体"/>
                <w:color w:val="000000"/>
                <w:sz w:val="18"/>
                <w:szCs w:val="18"/>
              </w:rPr>
            </w:pPr>
            <w:r>
              <w:rPr>
                <w:rFonts w:ascii="宋体" w:hAnsi="宋体" w:cs="宋体"/>
                <w:color w:val="000000"/>
                <w:kern w:val="0"/>
                <w:sz w:val="18"/>
                <w:szCs w:val="18"/>
              </w:rPr>
              <w:t>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229">
            <w:pPr>
              <w:widowControl/>
              <w:jc w:val="center"/>
              <w:textAlignment w:val="center"/>
              <w:rPr>
                <w:rFonts w:cs="微软雅黑" w:asciiTheme="minorEastAsia" w:hAnsiTheme="minorEastAsia" w:eastAsiaTheme="minorEastAsia"/>
                <w:i/>
                <w:color w:val="000000"/>
                <w:sz w:val="16"/>
                <w:szCs w:val="16"/>
              </w:rPr>
            </w:pPr>
            <w:r>
              <w:rPr>
                <w:rFonts w:cs="微软雅黑" w:asciiTheme="minorEastAsia" w:hAnsiTheme="minorEastAsia" w:eastAsiaTheme="minorEastAsia"/>
                <w:i/>
                <w:color w:val="000000"/>
                <w:kern w:val="0"/>
                <w:sz w:val="16"/>
                <w:szCs w:val="16"/>
              </w:rPr>
              <w:t>327</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9AC9">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0E61">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3878C9D5">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9218"/>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72C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B095"/>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674D">
            <w:pPr>
              <w:widowControl/>
              <w:jc w:val="center"/>
              <w:textAlignment w:val="center"/>
              <w:rPr>
                <w:rFonts w:ascii="宋体" w:hAnsi="宋体" w:cs="宋体"/>
                <w:color w:val="000000"/>
                <w:sz w:val="18"/>
                <w:szCs w:val="18"/>
              </w:rPr>
            </w:pPr>
            <w:r>
              <w:rPr>
                <w:rFonts w:ascii="宋体" w:hAnsi="宋体" w:cs="宋体"/>
                <w:color w:val="000000"/>
                <w:kern w:val="0"/>
                <w:sz w:val="18"/>
                <w:szCs w:val="18"/>
              </w:rPr>
              <w:t>科技成果集成转化模式</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50D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969B">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992F">
            <w:pPr>
              <w:widowControl/>
              <w:jc w:val="center"/>
              <w:textAlignment w:val="center"/>
              <w:rPr>
                <w:rFonts w:ascii="宋体" w:hAnsi="宋体" w:cs="宋体"/>
                <w:color w:val="000000"/>
                <w:sz w:val="18"/>
                <w:szCs w:val="18"/>
              </w:rPr>
            </w:pPr>
            <w:r>
              <w:rPr>
                <w:rFonts w:ascii="宋体" w:hAnsi="宋体" w:cs="宋体"/>
                <w:color w:val="000000"/>
                <w:kern w:val="0"/>
                <w:sz w:val="18"/>
                <w:szCs w:val="18"/>
              </w:rPr>
              <w:t>套</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23E6">
            <w:pPr>
              <w:widowControl/>
              <w:jc w:val="center"/>
              <w:textAlignment w:val="center"/>
              <w:rPr>
                <w:rFonts w:cs="微软雅黑" w:asciiTheme="minorEastAsia" w:hAnsiTheme="minorEastAsia" w:eastAsiaTheme="minorEastAsia"/>
                <w:i/>
                <w:color w:val="000000"/>
                <w:sz w:val="16"/>
                <w:szCs w:val="16"/>
              </w:rPr>
            </w:pPr>
            <w:r>
              <w:rPr>
                <w:rFonts w:cs="宋体" w:asciiTheme="minorEastAsia" w:hAnsiTheme="minorEastAsia" w:eastAsiaTheme="minorEastAsia"/>
                <w:color w:val="000000"/>
                <w:kern w:val="0"/>
                <w:sz w:val="18"/>
                <w:szCs w:val="18"/>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5BB6">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ED69">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0F838B50">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C7E9"/>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13F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0957"/>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A60F">
            <w:pPr>
              <w:widowControl/>
              <w:jc w:val="center"/>
              <w:textAlignment w:val="center"/>
              <w:rPr>
                <w:rFonts w:ascii="宋体" w:hAnsi="宋体" w:cs="宋体"/>
                <w:color w:val="000000"/>
                <w:sz w:val="18"/>
                <w:szCs w:val="18"/>
              </w:rPr>
            </w:pPr>
            <w:r>
              <w:rPr>
                <w:rFonts w:ascii="宋体" w:hAnsi="宋体" w:cs="宋体"/>
                <w:color w:val="000000"/>
                <w:kern w:val="0"/>
                <w:sz w:val="18"/>
                <w:szCs w:val="18"/>
              </w:rPr>
              <w:t>转化集成新技术</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1EB">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F069">
            <w:pPr>
              <w:widowControl/>
              <w:jc w:val="center"/>
              <w:textAlignment w:val="center"/>
              <w:rPr>
                <w:rFonts w:ascii="宋体" w:hAnsi="宋体" w:cs="宋体"/>
                <w:color w:val="000000"/>
                <w:sz w:val="18"/>
                <w:szCs w:val="18"/>
              </w:rPr>
            </w:pPr>
            <w:r>
              <w:rPr>
                <w:rFonts w:ascii="宋体" w:hAnsi="宋体" w:cs="宋体"/>
                <w:color w:val="000000"/>
                <w:kern w:val="0"/>
                <w:sz w:val="18"/>
                <w:szCs w:val="18"/>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39E">
            <w:pPr>
              <w:widowControl/>
              <w:jc w:val="center"/>
              <w:textAlignment w:val="center"/>
              <w:rPr>
                <w:rFonts w:ascii="宋体" w:hAnsi="宋体" w:cs="宋体"/>
                <w:color w:val="000000"/>
                <w:sz w:val="18"/>
                <w:szCs w:val="18"/>
              </w:rPr>
            </w:pPr>
            <w:r>
              <w:rPr>
                <w:rFonts w:ascii="宋体" w:hAnsi="宋体" w:cs="宋体"/>
                <w:color w:val="000000"/>
                <w:kern w:val="0"/>
                <w:sz w:val="18"/>
                <w:szCs w:val="18"/>
              </w:rPr>
              <w:t>套</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2D7A">
            <w:pPr>
              <w:widowControl/>
              <w:jc w:val="center"/>
              <w:textAlignment w:val="center"/>
              <w:rPr>
                <w:rFonts w:cs="微软雅黑" w:asciiTheme="minorEastAsia" w:hAnsiTheme="minorEastAsia" w:eastAsiaTheme="minorEastAsia"/>
                <w:i/>
                <w:color w:val="000000"/>
                <w:sz w:val="16"/>
                <w:szCs w:val="16"/>
              </w:rPr>
            </w:pPr>
            <w:r>
              <w:rPr>
                <w:rFonts w:cs="宋体" w:asciiTheme="minorEastAsia" w:hAnsiTheme="minorEastAsia" w:eastAsiaTheme="minorEastAsia"/>
                <w:color w:val="000000"/>
                <w:kern w:val="0"/>
                <w:sz w:val="18"/>
                <w:szCs w:val="18"/>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F9AF">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2.5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58BC">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2.5</w:t>
            </w:r>
          </w:p>
        </w:tc>
      </w:tr>
      <w:tr w14:paraId="6F294D37">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2409"/>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71E0"/>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6DB6"/>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D91D">
            <w:pPr>
              <w:widowControl/>
              <w:jc w:val="center"/>
              <w:textAlignment w:val="center"/>
              <w:rPr>
                <w:rFonts w:ascii="宋体" w:hAnsi="宋体" w:cs="宋体"/>
                <w:color w:val="000000"/>
                <w:sz w:val="18"/>
                <w:szCs w:val="18"/>
              </w:rPr>
            </w:pPr>
            <w:r>
              <w:rPr>
                <w:rFonts w:ascii="宋体" w:hAnsi="宋体" w:cs="宋体"/>
                <w:color w:val="000000"/>
                <w:kern w:val="0"/>
                <w:sz w:val="18"/>
                <w:szCs w:val="18"/>
              </w:rPr>
              <w:t>高质量培育新型经营主体</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2A36">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F7C0">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67F7">
            <w:pPr>
              <w:widowControl/>
              <w:jc w:val="center"/>
              <w:textAlignment w:val="center"/>
              <w:rPr>
                <w:rFonts w:ascii="宋体" w:hAnsi="宋体" w:cs="宋体"/>
                <w:color w:val="000000"/>
                <w:sz w:val="18"/>
                <w:szCs w:val="18"/>
              </w:rPr>
            </w:pPr>
            <w:r>
              <w:rPr>
                <w:rFonts w:ascii="宋体" w:hAnsi="宋体" w:cs="宋体"/>
                <w:color w:val="000000"/>
                <w:kern w:val="0"/>
                <w:sz w:val="18"/>
                <w:szCs w:val="18"/>
              </w:rPr>
              <w:t>个</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42BB">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6446">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2.5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9424">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2.5</w:t>
            </w:r>
          </w:p>
        </w:tc>
      </w:tr>
      <w:tr w14:paraId="6D731630">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14A2"/>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B102"/>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2C9C">
            <w:pPr>
              <w:widowControl/>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FFA5">
            <w:pPr>
              <w:widowControl/>
              <w:jc w:val="center"/>
              <w:textAlignment w:val="center"/>
              <w:rPr>
                <w:rFonts w:ascii="宋体" w:hAnsi="宋体" w:cs="宋体"/>
                <w:color w:val="000000"/>
                <w:sz w:val="18"/>
                <w:szCs w:val="18"/>
              </w:rPr>
            </w:pPr>
            <w:r>
              <w:rPr>
                <w:rFonts w:ascii="宋体" w:hAnsi="宋体" w:cs="宋体"/>
                <w:color w:val="000000"/>
                <w:kern w:val="0"/>
                <w:sz w:val="18"/>
                <w:szCs w:val="18"/>
              </w:rPr>
              <w:t>农业机械化替代用工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79EA">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26DF">
            <w:pPr>
              <w:widowControl/>
              <w:jc w:val="center"/>
              <w:textAlignment w:val="center"/>
              <w:rPr>
                <w:rFonts w:ascii="宋体" w:hAnsi="宋体" w:cs="宋体"/>
                <w:color w:val="000000"/>
                <w:sz w:val="18"/>
                <w:szCs w:val="18"/>
              </w:rPr>
            </w:pPr>
            <w:r>
              <w:rPr>
                <w:rFonts w:ascii="宋体" w:hAnsi="宋体" w:cs="宋体"/>
                <w:color w:val="000000"/>
                <w:kern w:val="0"/>
                <w:sz w:val="18"/>
                <w:szCs w:val="18"/>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C5BB">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D65F">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0BCA">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3744">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1EBFCFE6">
        <w:tblPrEx>
          <w:tblCellMar>
            <w:top w:w="0" w:type="dxa"/>
            <w:left w:w="108" w:type="dxa"/>
            <w:bottom w:w="0" w:type="dxa"/>
            <w:right w:w="108" w:type="dxa"/>
          </w:tblCellMar>
        </w:tblPrEx>
        <w:trPr>
          <w:trHeight w:val="612"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3A76"/>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E648"/>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6348"/>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9A81">
            <w:pPr>
              <w:widowControl/>
              <w:jc w:val="center"/>
              <w:textAlignment w:val="center"/>
              <w:rPr>
                <w:rFonts w:ascii="宋体" w:hAnsi="宋体" w:cs="宋体"/>
                <w:color w:val="000000"/>
                <w:sz w:val="18"/>
                <w:szCs w:val="18"/>
              </w:rPr>
            </w:pPr>
            <w:r>
              <w:rPr>
                <w:rFonts w:ascii="宋体" w:hAnsi="宋体" w:cs="宋体"/>
                <w:color w:val="000000"/>
                <w:kern w:val="0"/>
                <w:sz w:val="18"/>
                <w:szCs w:val="18"/>
              </w:rPr>
              <w:t>反应品质水平的农产品企业收储价格</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233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91F5">
            <w:pPr>
              <w:widowControl/>
              <w:jc w:val="center"/>
              <w:textAlignment w:val="center"/>
              <w:rPr>
                <w:rFonts w:ascii="宋体" w:hAnsi="宋体" w:cs="宋体"/>
                <w:color w:val="000000"/>
                <w:sz w:val="18"/>
                <w:szCs w:val="18"/>
              </w:rPr>
            </w:pPr>
            <w:r>
              <w:rPr>
                <w:rFonts w:ascii="宋体" w:hAnsi="宋体" w:cs="宋体"/>
                <w:color w:val="000000"/>
                <w:kern w:val="0"/>
                <w:sz w:val="18"/>
                <w:szCs w:val="18"/>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03CB">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BD5D">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3441">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6F48">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5</w:t>
            </w:r>
          </w:p>
        </w:tc>
      </w:tr>
      <w:tr w14:paraId="1EF53D81">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E1FE"/>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296C"/>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8D47">
            <w:pPr>
              <w:widowControl/>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EEEA">
            <w:pPr>
              <w:widowControl/>
              <w:jc w:val="center"/>
              <w:textAlignment w:val="center"/>
              <w:rPr>
                <w:rFonts w:ascii="宋体" w:hAnsi="宋体" w:cs="宋体"/>
                <w:color w:val="000000"/>
                <w:sz w:val="18"/>
                <w:szCs w:val="18"/>
              </w:rPr>
            </w:pPr>
            <w:r>
              <w:rPr>
                <w:rFonts w:ascii="宋体" w:hAnsi="宋体" w:cs="宋体"/>
                <w:color w:val="000000"/>
                <w:kern w:val="0"/>
                <w:sz w:val="18"/>
                <w:szCs w:val="18"/>
              </w:rPr>
              <w:t>资金到位后5年内完成</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9604">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2923">
            <w:pPr>
              <w:widowControl/>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EF0A">
            <w:pPr>
              <w:widowControl/>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A983">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4DAC">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11BF">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4</w:t>
            </w:r>
          </w:p>
        </w:tc>
      </w:tr>
      <w:tr w14:paraId="2D4F302D">
        <w:tblPrEx>
          <w:tblCellMar>
            <w:top w:w="0" w:type="dxa"/>
            <w:left w:w="108" w:type="dxa"/>
            <w:bottom w:w="0" w:type="dxa"/>
            <w:right w:w="108" w:type="dxa"/>
          </w:tblCellMar>
        </w:tblPrEx>
        <w:trPr>
          <w:trHeight w:val="33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3100"/>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13D6">
            <w:pPr>
              <w:widowControl/>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2940">
            <w:pPr>
              <w:widowControl/>
              <w:jc w:val="center"/>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88CF">
            <w:pPr>
              <w:widowControl/>
              <w:jc w:val="center"/>
              <w:textAlignment w:val="center"/>
              <w:rPr>
                <w:rFonts w:ascii="宋体" w:hAnsi="宋体" w:cs="宋体"/>
                <w:color w:val="000000"/>
                <w:sz w:val="18"/>
                <w:szCs w:val="18"/>
              </w:rPr>
            </w:pPr>
            <w:r>
              <w:rPr>
                <w:rFonts w:ascii="宋体" w:hAnsi="宋体" w:cs="宋体"/>
                <w:color w:val="000000"/>
                <w:kern w:val="0"/>
                <w:sz w:val="18"/>
                <w:szCs w:val="18"/>
              </w:rPr>
              <w:t>示范农户累计增收</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F537">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4849">
            <w:pPr>
              <w:widowControl/>
              <w:jc w:val="center"/>
              <w:textAlignment w:val="center"/>
              <w:rPr>
                <w:rFonts w:ascii="宋体" w:hAnsi="宋体" w:cs="宋体"/>
                <w:color w:val="000000"/>
                <w:sz w:val="18"/>
                <w:szCs w:val="18"/>
              </w:rPr>
            </w:pPr>
            <w:r>
              <w:rPr>
                <w:rFonts w:ascii="宋体" w:hAnsi="宋体" w:cs="宋体"/>
                <w:color w:val="000000"/>
                <w:kern w:val="0"/>
                <w:sz w:val="18"/>
                <w:szCs w:val="18"/>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EED5">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E075">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32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C77B">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7635">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r>
      <w:tr w14:paraId="3EE37451">
        <w:tblPrEx>
          <w:tblCellMar>
            <w:top w:w="0" w:type="dxa"/>
            <w:left w:w="108" w:type="dxa"/>
            <w:bottom w:w="0" w:type="dxa"/>
            <w:right w:w="108" w:type="dxa"/>
          </w:tblCellMar>
        </w:tblPrEx>
        <w:trPr>
          <w:trHeight w:val="664"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5B6B"/>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5E9A"/>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8448">
            <w:pPr>
              <w:widowControl/>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725C">
            <w:pPr>
              <w:widowControl/>
              <w:jc w:val="center"/>
              <w:textAlignment w:val="center"/>
              <w:rPr>
                <w:rFonts w:ascii="宋体" w:hAnsi="宋体" w:cs="宋体"/>
                <w:color w:val="000000"/>
                <w:sz w:val="18"/>
                <w:szCs w:val="18"/>
              </w:rPr>
            </w:pPr>
            <w:r>
              <w:rPr>
                <w:rFonts w:ascii="宋体" w:hAnsi="宋体" w:cs="宋体"/>
                <w:color w:val="000000"/>
                <w:kern w:val="0"/>
                <w:sz w:val="18"/>
                <w:szCs w:val="18"/>
              </w:rPr>
              <w:t>加大科技成果转化、人才培养，促进产业的可持续发展</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970B">
            <w:pPr>
              <w:widowControl/>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7BA1">
            <w:pPr>
              <w:widowControl/>
              <w:jc w:val="center"/>
              <w:textAlignment w:val="center"/>
              <w:rPr>
                <w:rFonts w:ascii="宋体" w:hAnsi="宋体" w:cs="宋体"/>
                <w:color w:val="000000"/>
                <w:sz w:val="18"/>
                <w:szCs w:val="18"/>
              </w:rPr>
            </w:pPr>
            <w:r>
              <w:rPr>
                <w:rFonts w:ascii="宋体" w:hAnsi="宋体" w:cs="宋体"/>
                <w:color w:val="000000"/>
                <w:kern w:val="0"/>
                <w:sz w:val="18"/>
                <w:szCs w:val="18"/>
              </w:rPr>
              <w:t>可持续</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D154">
            <w:pPr>
              <w:jc w:val="center"/>
              <w:rPr>
                <w:rFonts w:ascii="宋体" w:hAnsi="宋体" w:cs="宋体"/>
                <w:color w:val="000000"/>
                <w:sz w:val="18"/>
                <w:szCs w:val="18"/>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5B9F">
            <w:pPr>
              <w:jc w:val="center"/>
              <w:rPr>
                <w:rFonts w:cs="微软雅黑" w:asciiTheme="minorEastAsia" w:hAnsiTheme="minorEastAsia" w:eastAsiaTheme="minorEastAsia"/>
                <w:i/>
                <w:color w:val="000000"/>
                <w:sz w:val="16"/>
                <w:szCs w:val="16"/>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4F9A">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EAD0">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8</w:t>
            </w:r>
          </w:p>
        </w:tc>
      </w:tr>
      <w:tr w14:paraId="7504F13E">
        <w:tblPrEx>
          <w:tblCellMar>
            <w:top w:w="0" w:type="dxa"/>
            <w:left w:w="108" w:type="dxa"/>
            <w:bottom w:w="0" w:type="dxa"/>
            <w:right w:w="108" w:type="dxa"/>
          </w:tblCellMar>
        </w:tblPrEx>
        <w:trPr>
          <w:trHeight w:val="612"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E10C"/>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B2F8"/>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33ED">
            <w:pPr>
              <w:widowControl/>
              <w:jc w:val="center"/>
              <w:textAlignment w:val="center"/>
              <w:rPr>
                <w:rFonts w:ascii="宋体" w:hAnsi="宋体" w:cs="宋体"/>
                <w:color w:val="000000"/>
                <w:sz w:val="18"/>
                <w:szCs w:val="18"/>
              </w:rPr>
            </w:pPr>
            <w:r>
              <w:rPr>
                <w:rFonts w:ascii="宋体" w:hAnsi="宋体" w:cs="宋体"/>
                <w:color w:val="000000"/>
                <w:kern w:val="0"/>
                <w:sz w:val="18"/>
                <w:szCs w:val="18"/>
              </w:rPr>
              <w:t>生态效益指标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8C79">
            <w:pPr>
              <w:widowControl/>
              <w:jc w:val="center"/>
              <w:textAlignment w:val="center"/>
              <w:rPr>
                <w:rFonts w:ascii="宋体" w:hAnsi="宋体" w:cs="宋体"/>
                <w:color w:val="000000"/>
                <w:sz w:val="18"/>
                <w:szCs w:val="18"/>
              </w:rPr>
            </w:pPr>
            <w:r>
              <w:rPr>
                <w:rFonts w:ascii="宋体" w:hAnsi="宋体" w:cs="宋体"/>
                <w:color w:val="000000"/>
                <w:kern w:val="0"/>
                <w:sz w:val="18"/>
                <w:szCs w:val="18"/>
              </w:rPr>
              <w:t>促进产业低碳、绿色、循环、资源高效发展</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1BFD">
            <w:pPr>
              <w:widowControl/>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4D10">
            <w:pPr>
              <w:widowControl/>
              <w:jc w:val="center"/>
              <w:textAlignment w:val="center"/>
              <w:rPr>
                <w:rFonts w:ascii="宋体" w:hAnsi="宋体" w:cs="宋体"/>
                <w:color w:val="000000"/>
                <w:sz w:val="18"/>
                <w:szCs w:val="18"/>
              </w:rPr>
            </w:pPr>
            <w:r>
              <w:rPr>
                <w:rFonts w:ascii="宋体" w:hAnsi="宋体" w:cs="宋体"/>
                <w:color w:val="000000"/>
                <w:kern w:val="0"/>
                <w:sz w:val="18"/>
                <w:szCs w:val="18"/>
              </w:rPr>
              <w:t>可持续</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BC55">
            <w:pPr>
              <w:jc w:val="center"/>
              <w:rPr>
                <w:rFonts w:ascii="宋体" w:hAnsi="宋体" w:cs="宋体"/>
                <w:color w:val="000000"/>
                <w:sz w:val="18"/>
                <w:szCs w:val="18"/>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CBFE">
            <w:pPr>
              <w:jc w:val="center"/>
              <w:rPr>
                <w:rFonts w:cs="微软雅黑" w:asciiTheme="minorEastAsia" w:hAnsiTheme="minorEastAsia" w:eastAsiaTheme="minorEastAsia"/>
                <w:i/>
                <w:color w:val="000000"/>
                <w:sz w:val="16"/>
                <w:szCs w:val="16"/>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2BF7">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ED39">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8</w:t>
            </w:r>
          </w:p>
        </w:tc>
      </w:tr>
      <w:tr w14:paraId="06CAC1AA">
        <w:tblPrEx>
          <w:tblCellMar>
            <w:top w:w="0" w:type="dxa"/>
            <w:left w:w="108" w:type="dxa"/>
            <w:bottom w:w="0" w:type="dxa"/>
            <w:right w:w="108" w:type="dxa"/>
          </w:tblCellMar>
        </w:tblPrEx>
        <w:trPr>
          <w:trHeight w:val="622"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B5D3"/>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AF78">
            <w:pPr>
              <w:widowControl/>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8C69">
            <w:pPr>
              <w:widowControl/>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CAD5">
            <w:pPr>
              <w:widowControl/>
              <w:jc w:val="center"/>
              <w:textAlignment w:val="center"/>
              <w:rPr>
                <w:rFonts w:ascii="宋体" w:hAnsi="宋体" w:cs="宋体"/>
                <w:color w:val="000000"/>
                <w:sz w:val="18"/>
                <w:szCs w:val="18"/>
              </w:rPr>
            </w:pPr>
            <w:r>
              <w:rPr>
                <w:rFonts w:ascii="宋体" w:hAnsi="宋体" w:cs="宋体"/>
                <w:color w:val="000000"/>
                <w:kern w:val="0"/>
                <w:sz w:val="18"/>
                <w:szCs w:val="18"/>
              </w:rPr>
              <w:t>农户满意度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44B4">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9778">
            <w:pPr>
              <w:widowControl/>
              <w:jc w:val="center"/>
              <w:textAlignment w:val="center"/>
              <w:rPr>
                <w:rFonts w:ascii="宋体" w:hAnsi="宋体" w:cs="宋体"/>
                <w:color w:val="000000"/>
                <w:sz w:val="18"/>
                <w:szCs w:val="18"/>
              </w:rPr>
            </w:pPr>
            <w:r>
              <w:rPr>
                <w:rFonts w:ascii="宋体" w:hAnsi="宋体" w:cs="宋体"/>
                <w:color w:val="000000"/>
                <w:kern w:val="0"/>
                <w:sz w:val="18"/>
                <w:szCs w:val="18"/>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7D49">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3EAD">
            <w:pPr>
              <w:widowControl/>
              <w:jc w:val="center"/>
              <w:textAlignment w:val="center"/>
              <w:rPr>
                <w:rFonts w:cs="微软雅黑" w:asciiTheme="minorEastAsia" w:hAnsiTheme="minorEastAsia" w:eastAsiaTheme="minorEastAsia"/>
                <w:color w:val="000000"/>
                <w:sz w:val="16"/>
                <w:szCs w:val="16"/>
              </w:rPr>
            </w:pPr>
            <w:r>
              <w:rPr>
                <w:rFonts w:cs="微软雅黑" w:asciiTheme="minorEastAsia" w:hAnsiTheme="minorEastAsia" w:eastAsiaTheme="minorEastAsia"/>
                <w:color w:val="000000"/>
                <w:kern w:val="0"/>
                <w:sz w:val="16"/>
                <w:szCs w:val="16"/>
              </w:rPr>
              <w:t>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9036">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E7FA">
            <w:pPr>
              <w:widowControl/>
              <w:jc w:val="center"/>
              <w:textAlignment w:val="center"/>
              <w:rPr>
                <w:rFonts w:cs="宋体" w:asciiTheme="minorEastAsia" w:hAnsiTheme="minorEastAsia" w:eastAsiaTheme="minorEastAsia"/>
                <w:color w:val="000000"/>
                <w:sz w:val="18"/>
                <w:szCs w:val="18"/>
              </w:rPr>
            </w:pPr>
            <w:r>
              <w:rPr>
                <w:rFonts w:cs="宋体" w:asciiTheme="minorEastAsia" w:hAnsiTheme="minorEastAsia" w:eastAsiaTheme="minorEastAsia"/>
                <w:color w:val="000000"/>
                <w:kern w:val="0"/>
                <w:sz w:val="18"/>
                <w:szCs w:val="18"/>
              </w:rPr>
              <w:t>9</w:t>
            </w:r>
          </w:p>
        </w:tc>
      </w:tr>
      <w:tr w14:paraId="24936CF0">
        <w:tblPrEx>
          <w:tblCellMar>
            <w:top w:w="0" w:type="dxa"/>
            <w:left w:w="108" w:type="dxa"/>
            <w:bottom w:w="0" w:type="dxa"/>
            <w:right w:w="108" w:type="dxa"/>
          </w:tblCellMar>
        </w:tblPrEx>
        <w:trPr>
          <w:trHeight w:val="622" w:hRule="atLeast"/>
        </w:trPr>
        <w:tc>
          <w:tcPr>
            <w:tcW w:w="724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BE41">
            <w:pPr>
              <w:widowControl/>
              <w:jc w:val="center"/>
              <w:textAlignment w:val="center"/>
              <w:rPr>
                <w:rFonts w:ascii="微软雅黑" w:hAnsi="微软雅黑" w:eastAsia="微软雅黑" w:cs="微软雅黑"/>
                <w:i/>
                <w:color w:val="000000"/>
                <w:kern w:val="0"/>
                <w:sz w:val="16"/>
                <w:szCs w:val="16"/>
              </w:rPr>
            </w:pPr>
            <w:r>
              <w:rPr>
                <w:rFonts w:hint="eastAsia" w:ascii="宋体" w:hAnsi="宋体" w:cs="宋体"/>
                <w:color w:val="000000"/>
                <w:kern w:val="0"/>
                <w:sz w:val="18"/>
                <w:szCs w:val="18"/>
              </w:rPr>
              <w:t>合计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12F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E65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87.5</w:t>
            </w:r>
          </w:p>
        </w:tc>
      </w:tr>
    </w:tbl>
    <w:p w14:paraId="2010AA5A">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（一）项目完成情况。</w:t>
      </w:r>
    </w:p>
    <w:p w14:paraId="27C03DDF">
      <w:pPr>
        <w:spacing w:line="578" w:lineRule="exact"/>
        <w:ind w:firstLine="640"/>
        <w:rPr>
          <w:rFonts w:eastAsia="仿宋_GB2312" w:cs="仿宋_GB2312"/>
          <w:b/>
          <w:kern w:val="0"/>
          <w:sz w:val="32"/>
          <w:szCs w:val="32"/>
        </w:rPr>
      </w:pPr>
      <w:r>
        <w:rPr>
          <w:rFonts w:hint="eastAsia" w:eastAsia="仿宋_GB2312" w:cs="仿宋_GB2312"/>
          <w:b/>
          <w:kern w:val="0"/>
          <w:sz w:val="32"/>
          <w:szCs w:val="32"/>
        </w:rPr>
        <w:t>全面完成年度工作任务。</w:t>
      </w:r>
    </w:p>
    <w:p w14:paraId="6897CD4A">
      <w:pPr>
        <w:spacing w:line="578" w:lineRule="exact"/>
        <w:ind w:firstLine="640"/>
        <w:rPr>
          <w:rFonts w:eastAsia="仿宋_GB2312" w:cs="仿宋_GB2312"/>
          <w:b/>
          <w:kern w:val="0"/>
          <w:sz w:val="32"/>
          <w:szCs w:val="32"/>
        </w:rPr>
      </w:pPr>
      <w:r>
        <w:rPr>
          <w:rFonts w:hint="eastAsia" w:eastAsia="仿宋_GB2312" w:cs="仿宋_GB2312"/>
          <w:b/>
          <w:kern w:val="0"/>
          <w:sz w:val="32"/>
          <w:szCs w:val="32"/>
        </w:rPr>
        <w:t>1、品种展示及技术推广。</w:t>
      </w:r>
    </w:p>
    <w:p w14:paraId="0D86BD21">
      <w:pPr>
        <w:spacing w:line="578" w:lineRule="exact"/>
        <w:ind w:firstLine="640"/>
        <w:rPr>
          <w:rFonts w:eastAsia="仿宋_GB2312" w:cs="仿宋_GB2312"/>
          <w:kern w:val="0"/>
          <w:sz w:val="32"/>
          <w:szCs w:val="32"/>
        </w:rPr>
      </w:pPr>
      <w:r>
        <w:rPr>
          <w:rFonts w:hint="eastAsia" w:eastAsia="仿宋_GB2312" w:cs="仿宋_GB2312"/>
          <w:kern w:val="0"/>
          <w:sz w:val="32"/>
          <w:szCs w:val="32"/>
        </w:rPr>
        <w:t>①上半年在米易丙谷镇雷窝村示范片展示番茄新品种113个，筛选优良品种17个。其中番茄组合P15单果重214.10克，可溶性固形物7.48%，番茄组合P18单果重127.52克，可溶性固形物8.38%。川红 1 号、川粉红 1 号亩产量10000公斤。</w:t>
      </w:r>
    </w:p>
    <w:p w14:paraId="347C5815">
      <w:pPr>
        <w:spacing w:line="578" w:lineRule="exact"/>
        <w:ind w:firstLine="640"/>
        <w:rPr>
          <w:rFonts w:eastAsia="仿宋_GB2312" w:cs="仿宋_GB2312"/>
          <w:kern w:val="0"/>
          <w:sz w:val="32"/>
          <w:szCs w:val="32"/>
        </w:rPr>
      </w:pPr>
      <w:r>
        <w:rPr>
          <w:rFonts w:hint="eastAsia" w:eastAsia="仿宋_GB2312" w:cs="仿宋_GB2312"/>
          <w:kern w:val="0"/>
          <w:sz w:val="32"/>
          <w:szCs w:val="32"/>
        </w:rPr>
        <w:t>②番茄绿色高效栽培技术示范100亩，在撒莲、丙谷镇推广新品种新技术5000余亩。</w:t>
      </w:r>
    </w:p>
    <w:p w14:paraId="43B57B3B">
      <w:pPr>
        <w:spacing w:line="578" w:lineRule="exact"/>
        <w:ind w:firstLine="640"/>
        <w:rPr>
          <w:rFonts w:eastAsia="仿宋_GB2312" w:cs="仿宋_GB2312"/>
          <w:kern w:val="0"/>
          <w:sz w:val="32"/>
          <w:szCs w:val="32"/>
        </w:rPr>
      </w:pPr>
      <w:r>
        <w:rPr>
          <w:rFonts w:hint="eastAsia" w:eastAsia="仿宋_GB2312" w:cs="仿宋_GB2312"/>
          <w:kern w:val="0"/>
          <w:sz w:val="32"/>
          <w:szCs w:val="32"/>
        </w:rPr>
        <w:t>③瓜果类蔬菜集约化育苗技术示范110亩。指导米易绿怡专业合作社蔬菜集约化育苗技术，生产番茄种苗4000万株。采用机械精量播种流水线、穴盘育苗、嫁接育苗、菌根化育苗、苗期环境监测与控制精准调控，实现了茄果类蔬菜种苗的周年生产，育苗的成苗率提高15%，壮苗率提高15%，用种量节约10%，亩节本增效1000元以上。</w:t>
      </w:r>
    </w:p>
    <w:p w14:paraId="65599109">
      <w:pPr>
        <w:spacing w:line="578" w:lineRule="exact"/>
        <w:ind w:firstLine="640"/>
        <w:rPr>
          <w:rFonts w:eastAsia="仿宋_GB2312" w:cs="仿宋_GB2312"/>
          <w:kern w:val="0"/>
          <w:sz w:val="32"/>
          <w:szCs w:val="32"/>
        </w:rPr>
      </w:pPr>
      <w:r>
        <w:rPr>
          <w:rFonts w:hint="eastAsia" w:eastAsia="仿宋_GB2312" w:cs="仿宋_GB2312"/>
          <w:b/>
          <w:kern w:val="0"/>
          <w:sz w:val="32"/>
          <w:szCs w:val="32"/>
        </w:rPr>
        <w:t>2、示范片建设</w:t>
      </w:r>
      <w:r>
        <w:rPr>
          <w:rFonts w:hint="eastAsia" w:eastAsia="仿宋_GB2312" w:cs="仿宋_GB2312"/>
          <w:kern w:val="0"/>
          <w:sz w:val="32"/>
          <w:szCs w:val="32"/>
        </w:rPr>
        <w:t>。</w:t>
      </w:r>
    </w:p>
    <w:p w14:paraId="064F3908">
      <w:pPr>
        <w:spacing w:line="578" w:lineRule="exact"/>
        <w:ind w:firstLine="640"/>
        <w:rPr>
          <w:rFonts w:eastAsia="仿宋_GB2312" w:cs="仿宋_GB2312"/>
          <w:kern w:val="0"/>
          <w:sz w:val="32"/>
          <w:szCs w:val="32"/>
        </w:rPr>
      </w:pPr>
      <w:r>
        <w:rPr>
          <w:rFonts w:hint="eastAsia" w:eastAsia="仿宋_GB2312" w:cs="仿宋_GB2312"/>
          <w:kern w:val="0"/>
          <w:sz w:val="32"/>
          <w:szCs w:val="32"/>
        </w:rPr>
        <w:t>①番茄绿色高效栽培技术示范。下半年在丙谷橄榄村新建示范片110亩，白马镇110亩。</w:t>
      </w:r>
    </w:p>
    <w:p w14:paraId="5C5A8785">
      <w:pPr>
        <w:spacing w:line="578" w:lineRule="exact"/>
        <w:ind w:firstLine="640"/>
        <w:rPr>
          <w:rFonts w:eastAsia="仿宋_GB2312" w:cs="仿宋_GB2312"/>
          <w:kern w:val="0"/>
          <w:sz w:val="32"/>
          <w:szCs w:val="32"/>
        </w:rPr>
      </w:pPr>
      <w:r>
        <w:rPr>
          <w:rFonts w:hint="eastAsia" w:eastAsia="仿宋_GB2312" w:cs="仿宋_GB2312"/>
          <w:kern w:val="0"/>
          <w:sz w:val="32"/>
          <w:szCs w:val="32"/>
        </w:rPr>
        <w:t>②水稻新品种新技术新机械示范。下半年在撒莲镇水稻规模化育秧、宽窄行增密、水肥优控等现代化稻作技术示范108亩。川康优丝苗品种亩产量1011.72公斤、花优707品种 1044.18公斤。</w:t>
      </w:r>
    </w:p>
    <w:p w14:paraId="3A0D3311">
      <w:pPr>
        <w:spacing w:line="578" w:lineRule="exact"/>
        <w:ind w:firstLine="640"/>
        <w:rPr>
          <w:rFonts w:eastAsia="仿宋_GB2312" w:cs="仿宋_GB2312"/>
          <w:kern w:val="0"/>
          <w:sz w:val="32"/>
          <w:szCs w:val="32"/>
        </w:rPr>
      </w:pPr>
      <w:r>
        <w:rPr>
          <w:rFonts w:hint="eastAsia" w:eastAsia="仿宋_GB2312" w:cs="仿宋_GB2312"/>
          <w:kern w:val="0"/>
          <w:sz w:val="32"/>
          <w:szCs w:val="32"/>
        </w:rPr>
        <w:t>③马铃薯新品种新技术新机械示范推广。会东消塘镇消塘村建设示范片30亩。川凉芋 17号亩产3779.7公斤，较对照增产46.5%，产值1.36万元。盐源县龙塘镇建立示范基地110亩，示范品种为丽薯6号，亩产3282.14 公斤。产值1.3万元/亩。冬作马铃薯全程机械化人工成本节约300-500元/亩，亩增产11%。西昌市裕隆乡示范20亩，产量4079.24 kg/亩，产值达1.2522-2.0042万元/亩。在攀枝花格萨拉示范7亩，川凉芋17、395、云薯116、s16-744、云薯114、s13-601、s12-1998、s13-739、s16-1338等8个品种，川凉芋17号2156.64 公斤/亩，云薯114号2564.30公斤/亩。</w:t>
      </w:r>
    </w:p>
    <w:p w14:paraId="3007D0D0">
      <w:pPr>
        <w:spacing w:line="578" w:lineRule="exact"/>
        <w:ind w:firstLine="640"/>
        <w:rPr>
          <w:rFonts w:eastAsia="仿宋_GB2312" w:cs="仿宋_GB2312"/>
          <w:kern w:val="0"/>
          <w:sz w:val="32"/>
          <w:szCs w:val="32"/>
        </w:rPr>
      </w:pPr>
      <w:r>
        <w:rPr>
          <w:rFonts w:hint="eastAsia" w:eastAsia="仿宋_GB2312" w:cs="仿宋_GB2312"/>
          <w:b/>
          <w:kern w:val="0"/>
          <w:sz w:val="32"/>
          <w:szCs w:val="32"/>
        </w:rPr>
        <w:t>3、技术培训。</w:t>
      </w:r>
      <w:r>
        <w:rPr>
          <w:rFonts w:hint="eastAsia" w:eastAsia="仿宋_GB2312" w:cs="仿宋_GB2312"/>
          <w:kern w:val="0"/>
          <w:sz w:val="32"/>
          <w:szCs w:val="32"/>
        </w:rPr>
        <w:t xml:space="preserve">召开现场观摩会1次；现场测产会4次；攀西稻菜轮作区设施蔬菜技术交流会1次；培训300余人次。                                    </w:t>
      </w:r>
    </w:p>
    <w:p w14:paraId="51B5DC11">
      <w:pPr>
        <w:spacing w:line="578" w:lineRule="exact"/>
        <w:ind w:firstLine="640"/>
        <w:rPr>
          <w:rFonts w:eastAsia="仿宋_GB2312" w:cs="仿宋_GB2312"/>
          <w:kern w:val="0"/>
          <w:sz w:val="32"/>
          <w:szCs w:val="32"/>
        </w:rPr>
      </w:pPr>
      <w:r>
        <w:rPr>
          <w:rFonts w:hint="eastAsia" w:eastAsia="仿宋_GB2312" w:cs="仿宋_GB2312"/>
          <w:b/>
          <w:kern w:val="0"/>
          <w:sz w:val="32"/>
          <w:szCs w:val="32"/>
        </w:rPr>
        <w:t>（二）项目效益情况。</w:t>
      </w:r>
    </w:p>
    <w:p w14:paraId="4D686EC8">
      <w:pPr>
        <w:spacing w:line="578" w:lineRule="exact"/>
        <w:ind w:firstLine="640"/>
        <w:rPr>
          <w:rFonts w:eastAsia="仿宋_GB2312" w:cs="仿宋_GB2312"/>
          <w:kern w:val="0"/>
          <w:sz w:val="32"/>
          <w:szCs w:val="32"/>
        </w:rPr>
      </w:pPr>
      <w:r>
        <w:rPr>
          <w:rFonts w:hint="eastAsia" w:eastAsia="仿宋_GB2312" w:cs="仿宋_GB2312"/>
          <w:kern w:val="0"/>
          <w:sz w:val="32"/>
          <w:szCs w:val="32"/>
        </w:rPr>
        <w:t>番茄、水稻、马铃薯新品种示范推广，产量高、品质好，增产效果明显。番茄绿色高效栽培、马铃薯全程机械化、水稻规模化育秧、宽窄行增密水肥优控、瓜果类蔬菜集约化育苗等技术、设备推广，全程机械化人工成本节约300-500元/亩，亩节本增效1000元以上，经济效益突出。通过现场观摩会、攀西稻菜轮作区设施蔬菜技术交流会的举办，扩大了攀枝花蔬菜产业影响。通过技术培训、现场指导、示范基地建设，满足了服务对象对技术的需求，群众满意度高。项目经济、社会、生态、可持续效益突出。</w:t>
      </w:r>
    </w:p>
    <w:p w14:paraId="58F2E6D7">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五、评价结论及建议</w:t>
      </w:r>
    </w:p>
    <w:p w14:paraId="07BE0EA0">
      <w:pPr>
        <w:spacing w:line="578" w:lineRule="exact"/>
        <w:ind w:firstLine="640"/>
        <w:rPr>
          <w:rFonts w:eastAsia="仿宋_GB2312" w:cs="仿宋_GB2312"/>
          <w:b/>
          <w:kern w:val="0"/>
          <w:sz w:val="32"/>
          <w:szCs w:val="32"/>
        </w:rPr>
      </w:pPr>
      <w:r>
        <w:rPr>
          <w:rFonts w:hint="eastAsia" w:eastAsia="仿宋_GB2312" w:cs="仿宋_GB2312"/>
          <w:b/>
          <w:kern w:val="0"/>
          <w:sz w:val="32"/>
          <w:szCs w:val="32"/>
        </w:rPr>
        <w:t>（一）评价结论。</w:t>
      </w:r>
    </w:p>
    <w:p w14:paraId="5AA9A19B">
      <w:pPr>
        <w:spacing w:line="578" w:lineRule="exact"/>
        <w:ind w:firstLine="640"/>
        <w:rPr>
          <w:rFonts w:eastAsia="仿宋_GB2312" w:cs="仿宋_GB2312"/>
          <w:kern w:val="0"/>
          <w:sz w:val="32"/>
          <w:szCs w:val="32"/>
        </w:rPr>
      </w:pPr>
      <w:r>
        <w:rPr>
          <w:rFonts w:hint="eastAsia" w:eastAsia="仿宋_GB2312" w:cs="仿宋_GB2312"/>
          <w:kern w:val="0"/>
          <w:sz w:val="32"/>
          <w:szCs w:val="32"/>
        </w:rPr>
        <w:t>自评</w:t>
      </w:r>
      <w:r>
        <w:rPr>
          <w:rFonts w:eastAsia="仿宋_GB2312" w:cs="仿宋_GB2312"/>
          <w:kern w:val="0"/>
          <w:sz w:val="32"/>
          <w:szCs w:val="32"/>
        </w:rPr>
        <w:t>92.02</w:t>
      </w:r>
      <w:r>
        <w:rPr>
          <w:rFonts w:hint="eastAsia" w:eastAsia="仿宋_GB2312" w:cs="仿宋_GB2312"/>
          <w:kern w:val="0"/>
          <w:sz w:val="32"/>
          <w:szCs w:val="32"/>
        </w:rPr>
        <w:t>分。在年度经费预算执行、绩效指标完成、推广模式、品种、技术、示范基地建设、现场观摩会、技术交流会、培训任务、示范农户增收等完成好，在科技成果转化、人才培养，促进产业的可持续发展、生态效益、农户满意度等方面还要加强。整体绩效评价为较好。</w:t>
      </w:r>
    </w:p>
    <w:p w14:paraId="7B2BEBBD">
      <w:pPr>
        <w:spacing w:line="578" w:lineRule="exact"/>
        <w:ind w:firstLine="640"/>
        <w:rPr>
          <w:rFonts w:eastAsia="仿宋_GB2312" w:cs="仿宋_GB2312"/>
          <w:b/>
          <w:kern w:val="0"/>
          <w:sz w:val="32"/>
          <w:szCs w:val="32"/>
        </w:rPr>
      </w:pPr>
      <w:r>
        <w:rPr>
          <w:rFonts w:hint="eastAsia" w:eastAsia="仿宋_GB2312" w:cs="仿宋_GB2312"/>
          <w:b/>
          <w:kern w:val="0"/>
          <w:sz w:val="32"/>
          <w:szCs w:val="32"/>
        </w:rPr>
        <w:t>（二）存在的问题。</w:t>
      </w:r>
    </w:p>
    <w:p w14:paraId="197B1FA3">
      <w:pPr>
        <w:spacing w:line="578" w:lineRule="exact"/>
        <w:ind w:firstLine="640"/>
        <w:rPr>
          <w:rFonts w:eastAsia="仿宋_GB2312" w:cs="仿宋_GB2312"/>
          <w:kern w:val="0"/>
          <w:sz w:val="32"/>
          <w:szCs w:val="32"/>
        </w:rPr>
      </w:pPr>
      <w:r>
        <w:rPr>
          <w:rFonts w:hint="eastAsia" w:eastAsia="仿宋_GB2312" w:cs="仿宋_GB2312"/>
          <w:kern w:val="0"/>
          <w:sz w:val="32"/>
          <w:szCs w:val="32"/>
        </w:rPr>
        <w:t>番茄新品种川红 1 号、川粉红 1 号，马铃薯新品种川凉芋 17。由于种子量不足，在攀枝花只进行了品种示范，示范面积6亩。</w:t>
      </w:r>
    </w:p>
    <w:p w14:paraId="07391CC5">
      <w:pPr>
        <w:spacing w:line="578" w:lineRule="exact"/>
        <w:ind w:firstLine="640"/>
        <w:rPr>
          <w:rFonts w:eastAsia="仿宋_GB2312" w:cs="仿宋_GB2312"/>
          <w:kern w:val="0"/>
          <w:sz w:val="32"/>
          <w:szCs w:val="32"/>
        </w:rPr>
      </w:pPr>
      <w:r>
        <w:rPr>
          <w:rFonts w:hint="eastAsia" w:eastAsia="仿宋_GB2312" w:cs="仿宋_GB2312"/>
          <w:b/>
          <w:kern w:val="0"/>
          <w:sz w:val="32"/>
          <w:szCs w:val="32"/>
        </w:rPr>
        <w:t>（三）相关建议。</w:t>
      </w:r>
      <w:r>
        <w:rPr>
          <w:rFonts w:hint="eastAsia" w:eastAsia="仿宋_GB2312" w:cs="仿宋_GB2312"/>
          <w:kern w:val="0"/>
          <w:sz w:val="32"/>
          <w:szCs w:val="32"/>
        </w:rPr>
        <w:t>无</w:t>
      </w:r>
      <w:r>
        <w:rPr>
          <w:rFonts w:eastAsia="仿宋_GB2312" w:cs="仿宋_GB2312"/>
          <w:kern w:val="0"/>
          <w:sz w:val="32"/>
          <w:szCs w:val="32"/>
        </w:rPr>
        <w:br w:type="page"/>
      </w:r>
    </w:p>
    <w:p w14:paraId="2028A6D2">
      <w:pPr>
        <w:spacing w:line="578" w:lineRule="exact"/>
        <w:ind w:firstLine="640"/>
        <w:jc w:val="center"/>
        <w:rPr>
          <w:rFonts w:ascii="方正小标宋简体" w:eastAsia="方正小标宋简体" w:cs="仿宋_GB2312"/>
          <w:kern w:val="0"/>
          <w:sz w:val="36"/>
          <w:szCs w:val="36"/>
        </w:rPr>
      </w:pPr>
      <w:r>
        <w:rPr>
          <w:rFonts w:hint="eastAsia" w:ascii="方正小标宋简体" w:eastAsia="方正小标宋简体" w:cs="仿宋_GB2312"/>
          <w:kern w:val="0"/>
          <w:sz w:val="36"/>
          <w:szCs w:val="36"/>
        </w:rPr>
        <w:t>专项预算项目支出绩效自评报告</w:t>
      </w:r>
    </w:p>
    <w:p w14:paraId="546CCA67">
      <w:pPr>
        <w:spacing w:line="578" w:lineRule="exact"/>
        <w:ind w:firstLine="640"/>
        <w:jc w:val="center"/>
        <w:rPr>
          <w:rFonts w:ascii="方正小标宋简体" w:eastAsia="方正小标宋简体" w:cs="仿宋_GB2312"/>
          <w:kern w:val="0"/>
          <w:sz w:val="36"/>
          <w:szCs w:val="36"/>
        </w:rPr>
      </w:pPr>
      <w:r>
        <w:rPr>
          <w:rFonts w:hint="eastAsia" w:ascii="方正小标宋简体" w:eastAsia="方正小标宋简体" w:cs="仿宋_GB2312"/>
          <w:kern w:val="0"/>
          <w:sz w:val="36"/>
          <w:szCs w:val="36"/>
        </w:rPr>
        <w:t>高品质番茄科技成果转化示范基地建设项目</w:t>
      </w:r>
    </w:p>
    <w:p w14:paraId="6A0C0CC3">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64D9701B">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6DEF6697">
      <w:pPr>
        <w:spacing w:line="578" w:lineRule="exact"/>
        <w:ind w:firstLine="640"/>
        <w:rPr>
          <w:rFonts w:eastAsia="仿宋_GB2312" w:cs="仿宋_GB2312"/>
          <w:b/>
          <w:kern w:val="0"/>
          <w:sz w:val="32"/>
          <w:szCs w:val="32"/>
        </w:rPr>
      </w:pPr>
      <w:r>
        <w:rPr>
          <w:rFonts w:eastAsia="仿宋_GB2312" w:cs="仿宋_GB2312"/>
          <w:b/>
          <w:kern w:val="0"/>
          <w:sz w:val="32"/>
          <w:szCs w:val="32"/>
        </w:rPr>
        <w:t>1．说明项目主管部门在该项目管理中的职能。</w:t>
      </w:r>
    </w:p>
    <w:p w14:paraId="34CE618D">
      <w:pPr>
        <w:spacing w:line="578" w:lineRule="exact"/>
        <w:ind w:firstLine="640"/>
        <w:rPr>
          <w:rFonts w:eastAsia="仿宋_GB2312" w:cs="仿宋_GB2312"/>
          <w:kern w:val="0"/>
          <w:sz w:val="32"/>
          <w:szCs w:val="32"/>
        </w:rPr>
      </w:pPr>
      <w:r>
        <w:rPr>
          <w:rFonts w:hint="eastAsia" w:eastAsia="仿宋_GB2312" w:cs="仿宋_GB2312"/>
          <w:kern w:val="0"/>
          <w:sz w:val="32"/>
          <w:szCs w:val="32"/>
        </w:rPr>
        <w:t>攀枝花市农林科学研究院作为项目主持单位，负责与各合作单位的组织协调、专家团队管理、技术推广及资金使用。</w:t>
      </w:r>
    </w:p>
    <w:p w14:paraId="4BF587DB">
      <w:pPr>
        <w:spacing w:line="578" w:lineRule="exact"/>
        <w:ind w:firstLine="64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.项目立项、资金申报的依据。</w:t>
      </w:r>
    </w:p>
    <w:p w14:paraId="60C4CBE3">
      <w:pPr>
        <w:spacing w:line="578" w:lineRule="exact"/>
        <w:ind w:firstLine="640"/>
        <w:rPr>
          <w:rFonts w:eastAsia="仿宋_GB2312" w:cs="仿宋_GB2312"/>
          <w:kern w:val="0"/>
          <w:sz w:val="32"/>
          <w:szCs w:val="32"/>
        </w:rPr>
      </w:pPr>
      <w:r>
        <w:rPr>
          <w:rFonts w:hint="eastAsia" w:eastAsia="仿宋_GB2312" w:cs="仿宋_GB2312"/>
          <w:kern w:val="0"/>
          <w:sz w:val="32"/>
          <w:szCs w:val="32"/>
        </w:rPr>
        <w:t>蔬菜产业是攀枝花农业的主导产业之一。根据中央和省委关于乡村振兴的决策部署，围绕特色产业现代化生产关键技术示范推广，增强乡村振兴内生动力。项目资金来源为攀枝花市财政专项资金15万元。</w:t>
      </w:r>
    </w:p>
    <w:p w14:paraId="6D42153B">
      <w:pPr>
        <w:spacing w:line="578" w:lineRule="exact"/>
        <w:ind w:firstLine="640"/>
        <w:rPr>
          <w:rFonts w:eastAsia="仿宋_GB2312" w:cs="仿宋_GB2312"/>
          <w:b/>
          <w:kern w:val="0"/>
          <w:sz w:val="32"/>
          <w:szCs w:val="32"/>
        </w:rPr>
      </w:pPr>
      <w:r>
        <w:rPr>
          <w:rFonts w:eastAsia="仿宋_GB2312" w:cs="仿宋_GB2312"/>
          <w:b/>
          <w:kern w:val="0"/>
          <w:sz w:val="32"/>
          <w:szCs w:val="32"/>
        </w:rPr>
        <w:t>3．资金管理办法制定情况，资金支持具体项目的条件、范围与支持方式概况。</w:t>
      </w:r>
    </w:p>
    <w:p w14:paraId="4221058F">
      <w:pPr>
        <w:spacing w:line="578" w:lineRule="exact"/>
        <w:ind w:firstLine="640"/>
        <w:rPr>
          <w:rFonts w:eastAsia="仿宋_GB2312" w:cs="仿宋_GB2312"/>
          <w:kern w:val="0"/>
          <w:sz w:val="32"/>
          <w:szCs w:val="32"/>
        </w:rPr>
      </w:pPr>
      <w:r>
        <w:rPr>
          <w:rFonts w:hint="eastAsia" w:eastAsia="仿宋_GB2312" w:cs="仿宋_GB2312"/>
          <w:kern w:val="0"/>
          <w:sz w:val="32"/>
          <w:szCs w:val="32"/>
        </w:rPr>
        <w:t>严格按照四川省科技计划项目管理办法及相应的经费管理规定等相关法规开展相关研究和经费管理，单位制定了《全院非政府采购类项目的采购管理暂行办法》《攀枝花市农林科学研究固定资产暂行管理办法》《攀枝花市农林科学研究院差旅费管理办法》《攀枝花市农林科学研究院临时用工管理办法》。确保项目资金的使用安全、规范、有效，资金支付范围、支付标准、支付进度、支付依据等合规合法</w:t>
      </w:r>
      <w:r>
        <w:rPr>
          <w:rFonts w:eastAsia="仿宋_GB2312" w:cs="仿宋_GB2312"/>
          <w:kern w:val="0"/>
          <w:sz w:val="32"/>
          <w:szCs w:val="32"/>
        </w:rPr>
        <w:t>。</w:t>
      </w:r>
    </w:p>
    <w:p w14:paraId="57B81121">
      <w:pPr>
        <w:spacing w:line="578" w:lineRule="exact"/>
        <w:ind w:firstLine="640"/>
        <w:rPr>
          <w:rFonts w:eastAsia="仿宋_GB2312" w:cs="仿宋_GB2312"/>
          <w:b/>
          <w:kern w:val="0"/>
          <w:sz w:val="32"/>
          <w:szCs w:val="32"/>
        </w:rPr>
      </w:pPr>
      <w:r>
        <w:rPr>
          <w:rFonts w:hint="eastAsia" w:eastAsia="仿宋_GB2312" w:cs="仿宋_GB2312"/>
          <w:b/>
          <w:kern w:val="0"/>
          <w:sz w:val="32"/>
          <w:szCs w:val="32"/>
        </w:rPr>
        <w:t>4</w:t>
      </w:r>
      <w:r>
        <w:rPr>
          <w:rFonts w:eastAsia="仿宋_GB2312" w:cs="仿宋_GB2312"/>
          <w:b/>
          <w:kern w:val="0"/>
          <w:sz w:val="32"/>
          <w:szCs w:val="32"/>
        </w:rPr>
        <w:t>.资金分配的原则及考虑因素。</w:t>
      </w:r>
    </w:p>
    <w:p w14:paraId="44079870">
      <w:pPr>
        <w:spacing w:line="578" w:lineRule="exact"/>
        <w:ind w:firstLine="640"/>
        <w:rPr>
          <w:rFonts w:eastAsia="仿宋_GB2312" w:cs="仿宋_GB2312"/>
          <w:kern w:val="0"/>
          <w:sz w:val="32"/>
          <w:szCs w:val="32"/>
        </w:rPr>
      </w:pPr>
      <w:r>
        <w:rPr>
          <w:rFonts w:eastAsia="仿宋_GB2312" w:cs="仿宋_GB2312"/>
          <w:kern w:val="0"/>
          <w:sz w:val="32"/>
          <w:szCs w:val="32"/>
        </w:rPr>
        <w:t>本项目</w:t>
      </w:r>
      <w:r>
        <w:rPr>
          <w:rFonts w:hint="eastAsia" w:eastAsia="仿宋_GB2312" w:cs="仿宋_GB2312"/>
          <w:kern w:val="0"/>
          <w:sz w:val="32"/>
          <w:szCs w:val="32"/>
        </w:rPr>
        <w:t>于2025年6月获攀枝花市财政批复立项，</w:t>
      </w:r>
      <w:r>
        <w:rPr>
          <w:rFonts w:eastAsia="仿宋_GB2312" w:cs="仿宋_GB2312"/>
          <w:kern w:val="0"/>
          <w:sz w:val="32"/>
          <w:szCs w:val="32"/>
        </w:rPr>
        <w:t>实行</w:t>
      </w:r>
      <w:r>
        <w:rPr>
          <w:rFonts w:hint="eastAsia" w:eastAsia="仿宋_GB2312" w:cs="仿宋_GB2312"/>
          <w:kern w:val="0"/>
          <w:sz w:val="32"/>
          <w:szCs w:val="32"/>
        </w:rPr>
        <w:t>项目主持人</w:t>
      </w:r>
      <w:r>
        <w:rPr>
          <w:rFonts w:eastAsia="仿宋_GB2312" w:cs="仿宋_GB2312"/>
          <w:kern w:val="0"/>
          <w:sz w:val="32"/>
          <w:szCs w:val="32"/>
        </w:rPr>
        <w:t>负责制</w:t>
      </w:r>
      <w:r>
        <w:rPr>
          <w:rFonts w:hint="eastAsia" w:eastAsia="仿宋_GB2312" w:cs="仿宋_GB2312"/>
          <w:kern w:val="0"/>
          <w:sz w:val="32"/>
          <w:szCs w:val="32"/>
        </w:rPr>
        <w:t>，在</w:t>
      </w:r>
      <w:r>
        <w:rPr>
          <w:rFonts w:hint="eastAsia" w:eastAsia="仿宋_GB2312" w:cs="仿宋_GB2312"/>
          <w:bCs/>
          <w:kern w:val="0"/>
          <w:sz w:val="32"/>
          <w:szCs w:val="32"/>
        </w:rPr>
        <w:t>红格镇</w:t>
      </w:r>
      <w:r>
        <w:rPr>
          <w:rFonts w:hint="eastAsia" w:ascii="宋体" w:hAnsi="宋体" w:cs="宋体"/>
          <w:bCs/>
          <w:kern w:val="0"/>
          <w:sz w:val="32"/>
          <w:szCs w:val="32"/>
        </w:rPr>
        <w:t>鲊</w:t>
      </w:r>
      <w:r>
        <w:rPr>
          <w:rFonts w:hint="eastAsia" w:ascii="仿宋_GB2312" w:hAnsi="仿宋_GB2312" w:eastAsia="仿宋_GB2312" w:cs="仿宋_GB2312"/>
          <w:bCs/>
          <w:kern w:val="0"/>
          <w:sz w:val="32"/>
          <w:szCs w:val="32"/>
        </w:rPr>
        <w:t>石村建立示范基地，由红格镇</w:t>
      </w:r>
      <w:r>
        <w:rPr>
          <w:rFonts w:hint="eastAsia" w:ascii="宋体" w:hAnsi="宋体" w:cs="宋体"/>
          <w:bCs/>
          <w:kern w:val="0"/>
          <w:sz w:val="32"/>
          <w:szCs w:val="32"/>
        </w:rPr>
        <w:t>鲊</w:t>
      </w:r>
      <w:r>
        <w:rPr>
          <w:rFonts w:hint="eastAsia" w:ascii="仿宋_GB2312" w:hAnsi="仿宋_GB2312" w:eastAsia="仿宋_GB2312" w:cs="仿宋_GB2312"/>
          <w:bCs/>
          <w:kern w:val="0"/>
          <w:sz w:val="32"/>
          <w:szCs w:val="32"/>
        </w:rPr>
        <w:t>石村村支书周昌秀具体实施</w:t>
      </w:r>
      <w:r>
        <w:rPr>
          <w:rFonts w:hint="eastAsia" w:eastAsia="仿宋_GB2312" w:cs="仿宋_GB2312"/>
          <w:kern w:val="0"/>
          <w:sz w:val="32"/>
          <w:szCs w:val="32"/>
        </w:rPr>
        <w:t>，资金分配的原则及考虑因素根据承担的项目工作任务确定。</w:t>
      </w:r>
    </w:p>
    <w:p w14:paraId="4998CFA9">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76326EC7">
      <w:pPr>
        <w:spacing w:line="578" w:lineRule="exact"/>
        <w:ind w:firstLine="640"/>
        <w:rPr>
          <w:rFonts w:eastAsia="仿宋_GB2312" w:cs="仿宋_GB2312"/>
          <w:b/>
          <w:kern w:val="0"/>
          <w:sz w:val="32"/>
          <w:szCs w:val="32"/>
        </w:rPr>
      </w:pPr>
      <w:r>
        <w:rPr>
          <w:rFonts w:eastAsia="仿宋_GB2312" w:cs="仿宋_GB2312"/>
          <w:b/>
          <w:kern w:val="0"/>
          <w:sz w:val="32"/>
          <w:szCs w:val="32"/>
        </w:rPr>
        <w:t>1. 项目主要内容。</w:t>
      </w:r>
    </w:p>
    <w:p w14:paraId="0BEFD0B0">
      <w:pPr>
        <w:spacing w:line="578" w:lineRule="exact"/>
        <w:ind w:firstLine="640"/>
        <w:rPr>
          <w:rFonts w:eastAsia="仿宋_GB2312" w:cs="仿宋_GB2312"/>
          <w:kern w:val="0"/>
          <w:sz w:val="32"/>
          <w:szCs w:val="32"/>
        </w:rPr>
      </w:pPr>
      <w:r>
        <w:rPr>
          <w:rFonts w:hint="eastAsia" w:eastAsia="仿宋_GB2312" w:cs="仿宋_GB2312"/>
          <w:kern w:val="0"/>
          <w:sz w:val="32"/>
          <w:szCs w:val="32"/>
        </w:rPr>
        <w:t>在红格镇</w:t>
      </w:r>
      <w:r>
        <w:rPr>
          <w:rFonts w:hint="eastAsia" w:ascii="宋体" w:hAnsi="宋体" w:cs="宋体"/>
          <w:kern w:val="0"/>
          <w:sz w:val="32"/>
          <w:szCs w:val="32"/>
        </w:rPr>
        <w:t>鲊</w:t>
      </w:r>
      <w:r>
        <w:rPr>
          <w:rFonts w:hint="eastAsia" w:ascii="仿宋_GB2312" w:hAnsi="仿宋_GB2312" w:eastAsia="仿宋_GB2312" w:cs="仿宋_GB2312"/>
          <w:kern w:val="0"/>
          <w:sz w:val="32"/>
          <w:szCs w:val="32"/>
        </w:rPr>
        <w:t>石村建立</w:t>
      </w:r>
      <w:r>
        <w:rPr>
          <w:rFonts w:hint="eastAsia" w:eastAsia="仿宋_GB2312" w:cs="仿宋_GB2312"/>
          <w:kern w:val="0"/>
          <w:sz w:val="32"/>
          <w:szCs w:val="32"/>
        </w:rPr>
        <w:t>1个高品质番茄科技成果转化示范基地，面积40亩。</w:t>
      </w:r>
    </w:p>
    <w:p w14:paraId="4B127F03">
      <w:pPr>
        <w:spacing w:line="578" w:lineRule="exact"/>
        <w:ind w:firstLine="640"/>
        <w:rPr>
          <w:rFonts w:eastAsia="仿宋_GB2312" w:cs="仿宋_GB2312"/>
          <w:b/>
          <w:kern w:val="0"/>
          <w:sz w:val="32"/>
          <w:szCs w:val="32"/>
        </w:rPr>
      </w:pPr>
      <w:r>
        <w:rPr>
          <w:rFonts w:eastAsia="仿宋_GB2312" w:cs="仿宋_GB2312"/>
          <w:b/>
          <w:kern w:val="0"/>
          <w:sz w:val="32"/>
          <w:szCs w:val="32"/>
        </w:rPr>
        <w:t>2. 项目应实现的具体绩效目标，包括目标的量化、细化情况以及项目实施进度计划等。</w:t>
      </w:r>
    </w:p>
    <w:p w14:paraId="36351772">
      <w:pPr>
        <w:spacing w:line="578" w:lineRule="exact"/>
        <w:ind w:firstLine="640"/>
        <w:rPr>
          <w:rFonts w:eastAsia="仿宋_GB2312" w:cs="仿宋_GB2312"/>
          <w:b/>
          <w:bCs/>
          <w:kern w:val="0"/>
          <w:sz w:val="32"/>
          <w:szCs w:val="32"/>
        </w:rPr>
      </w:pPr>
      <w:r>
        <w:rPr>
          <w:rFonts w:eastAsia="仿宋_GB2312" w:cs="仿宋_GB2312"/>
          <w:kern w:val="0"/>
          <w:sz w:val="32"/>
          <w:szCs w:val="32"/>
        </w:rPr>
        <w:t>引进、</w:t>
      </w:r>
      <w:r>
        <w:rPr>
          <w:rFonts w:hint="eastAsia" w:eastAsia="仿宋_GB2312" w:cs="仿宋_GB2312"/>
          <w:kern w:val="0"/>
          <w:sz w:val="32"/>
          <w:szCs w:val="32"/>
        </w:rPr>
        <w:t>示范优良品种2-3个</w:t>
      </w:r>
      <w:r>
        <w:rPr>
          <w:rFonts w:eastAsia="仿宋_GB2312" w:cs="仿宋_GB2312"/>
          <w:kern w:val="0"/>
          <w:sz w:val="32"/>
          <w:szCs w:val="32"/>
        </w:rPr>
        <w:t>；</w:t>
      </w:r>
      <w:r>
        <w:rPr>
          <w:rFonts w:hint="eastAsia" w:eastAsia="仿宋_GB2312" w:cs="仿宋_GB2312"/>
          <w:kern w:val="0"/>
          <w:sz w:val="32"/>
          <w:szCs w:val="32"/>
        </w:rPr>
        <w:t>番茄育苗、水肥一体化、绿色防控等栽培技术示范</w:t>
      </w:r>
      <w:r>
        <w:rPr>
          <w:rFonts w:eastAsia="仿宋_GB2312" w:cs="仿宋_GB2312"/>
          <w:kern w:val="0"/>
          <w:sz w:val="32"/>
          <w:szCs w:val="32"/>
        </w:rPr>
        <w:t>；</w:t>
      </w:r>
      <w:r>
        <w:rPr>
          <w:rFonts w:hint="eastAsia" w:eastAsia="仿宋_GB2312" w:cs="仿宋_GB2312"/>
          <w:kern w:val="0"/>
          <w:sz w:val="32"/>
          <w:szCs w:val="32"/>
        </w:rPr>
        <w:t>轻简化农业机械示范。高品质番茄亩</w:t>
      </w:r>
      <w:r>
        <w:rPr>
          <w:rFonts w:eastAsia="仿宋_GB2312" w:cs="仿宋_GB2312"/>
          <w:kern w:val="0"/>
          <w:sz w:val="32"/>
          <w:szCs w:val="32"/>
        </w:rPr>
        <w:t>产</w:t>
      </w:r>
      <w:r>
        <w:rPr>
          <w:rFonts w:hint="eastAsia" w:eastAsia="仿宋_GB2312" w:cs="仿宋_GB2312"/>
          <w:kern w:val="0"/>
          <w:sz w:val="32"/>
          <w:szCs w:val="32"/>
        </w:rPr>
        <w:t>量5000公斤以上，亩产值20000元以上，水肥一体化技术、轻简化农业机械等应用，节水40%以上，节省肥料20%以上，节省人工30%以上。</w:t>
      </w:r>
      <w:r>
        <w:rPr>
          <w:rFonts w:eastAsia="仿宋_GB2312" w:cs="仿宋_GB2312"/>
          <w:kern w:val="0"/>
          <w:sz w:val="32"/>
          <w:szCs w:val="32"/>
        </w:rPr>
        <w:t>202</w:t>
      </w:r>
      <w:r>
        <w:rPr>
          <w:rFonts w:hint="eastAsia" w:eastAsia="仿宋_GB2312" w:cs="仿宋_GB2312"/>
          <w:kern w:val="0"/>
          <w:sz w:val="32"/>
          <w:szCs w:val="32"/>
        </w:rPr>
        <w:t>5.0</w:t>
      </w:r>
      <w:r>
        <w:rPr>
          <w:rFonts w:eastAsia="仿宋_GB2312" w:cs="仿宋_GB2312"/>
          <w:kern w:val="0"/>
          <w:sz w:val="32"/>
          <w:szCs w:val="32"/>
        </w:rPr>
        <w:t>6-</w:t>
      </w:r>
      <w:r>
        <w:rPr>
          <w:rFonts w:hint="eastAsia" w:eastAsia="仿宋_GB2312" w:cs="仿宋_GB2312"/>
          <w:kern w:val="0"/>
          <w:sz w:val="32"/>
          <w:szCs w:val="32"/>
        </w:rPr>
        <w:t>2025.0</w:t>
      </w:r>
      <w:r>
        <w:rPr>
          <w:rFonts w:eastAsia="仿宋_GB2312" w:cs="仿宋_GB2312"/>
          <w:kern w:val="0"/>
          <w:sz w:val="32"/>
          <w:szCs w:val="32"/>
        </w:rPr>
        <w:t>7</w:t>
      </w:r>
      <w:r>
        <w:rPr>
          <w:rFonts w:hint="eastAsia" w:eastAsia="仿宋_GB2312" w:cs="仿宋_GB2312"/>
          <w:kern w:val="0"/>
          <w:sz w:val="32"/>
          <w:szCs w:val="32"/>
        </w:rPr>
        <w:t>完成</w:t>
      </w:r>
      <w:r>
        <w:rPr>
          <w:rFonts w:eastAsia="仿宋_GB2312" w:cs="仿宋_GB2312"/>
          <w:kern w:val="0"/>
          <w:sz w:val="32"/>
          <w:szCs w:val="32"/>
        </w:rPr>
        <w:t>高品质番茄</w:t>
      </w:r>
      <w:r>
        <w:rPr>
          <w:rFonts w:hint="eastAsia" w:eastAsia="仿宋_GB2312" w:cs="仿宋_GB2312"/>
          <w:kern w:val="0"/>
          <w:sz w:val="32"/>
          <w:szCs w:val="32"/>
        </w:rPr>
        <w:t>品种的引种、育苗；2025.0</w:t>
      </w:r>
      <w:r>
        <w:rPr>
          <w:rFonts w:eastAsia="仿宋_GB2312" w:cs="仿宋_GB2312"/>
          <w:kern w:val="0"/>
          <w:sz w:val="32"/>
          <w:szCs w:val="32"/>
        </w:rPr>
        <w:t>8</w:t>
      </w:r>
      <w:r>
        <w:rPr>
          <w:rFonts w:hint="eastAsia" w:eastAsia="仿宋_GB2312" w:cs="仿宋_GB2312"/>
          <w:kern w:val="0"/>
          <w:sz w:val="32"/>
          <w:szCs w:val="32"/>
        </w:rPr>
        <w:t>-2026.0</w:t>
      </w:r>
      <w:r>
        <w:rPr>
          <w:rFonts w:eastAsia="仿宋_GB2312" w:cs="仿宋_GB2312"/>
          <w:kern w:val="0"/>
          <w:sz w:val="32"/>
          <w:szCs w:val="32"/>
        </w:rPr>
        <w:t>9</w:t>
      </w:r>
      <w:r>
        <w:rPr>
          <w:rFonts w:hint="eastAsia" w:eastAsia="仿宋_GB2312" w:cs="仿宋_GB2312"/>
          <w:kern w:val="0"/>
          <w:sz w:val="32"/>
          <w:szCs w:val="32"/>
        </w:rPr>
        <w:t>开展定植示范、培训；2025.</w:t>
      </w:r>
      <w:r>
        <w:rPr>
          <w:rFonts w:eastAsia="仿宋_GB2312" w:cs="仿宋_GB2312"/>
          <w:kern w:val="0"/>
          <w:sz w:val="32"/>
          <w:szCs w:val="32"/>
        </w:rPr>
        <w:t>10</w:t>
      </w:r>
      <w:r>
        <w:rPr>
          <w:rFonts w:hint="eastAsia" w:eastAsia="仿宋_GB2312" w:cs="仿宋_GB2312"/>
          <w:kern w:val="0"/>
          <w:sz w:val="32"/>
          <w:szCs w:val="32"/>
        </w:rPr>
        <w:t>-202</w:t>
      </w:r>
      <w:r>
        <w:rPr>
          <w:rFonts w:eastAsia="仿宋_GB2312" w:cs="仿宋_GB2312"/>
          <w:kern w:val="0"/>
          <w:sz w:val="32"/>
          <w:szCs w:val="32"/>
        </w:rPr>
        <w:t>6</w:t>
      </w:r>
      <w:r>
        <w:rPr>
          <w:rFonts w:hint="eastAsia" w:eastAsia="仿宋_GB2312" w:cs="仿宋_GB2312"/>
          <w:kern w:val="0"/>
          <w:sz w:val="32"/>
          <w:szCs w:val="32"/>
        </w:rPr>
        <w:t>.</w:t>
      </w:r>
      <w:r>
        <w:rPr>
          <w:rFonts w:eastAsia="仿宋_GB2312" w:cs="仿宋_GB2312"/>
          <w:kern w:val="0"/>
          <w:sz w:val="32"/>
          <w:szCs w:val="32"/>
        </w:rPr>
        <w:t>01</w:t>
      </w:r>
      <w:r>
        <w:rPr>
          <w:rFonts w:hint="eastAsia" w:eastAsia="仿宋_GB2312" w:cs="仿宋_GB2312"/>
          <w:kern w:val="0"/>
          <w:sz w:val="32"/>
          <w:szCs w:val="32"/>
        </w:rPr>
        <w:t>水肥一体化、绿色防控等栽培技术示范、培训；</w:t>
      </w:r>
      <w:r>
        <w:rPr>
          <w:rFonts w:eastAsia="仿宋_GB2312" w:cs="仿宋_GB2312"/>
          <w:kern w:val="0"/>
          <w:sz w:val="32"/>
          <w:szCs w:val="32"/>
        </w:rPr>
        <w:t>202</w:t>
      </w:r>
      <w:r>
        <w:rPr>
          <w:rFonts w:hint="eastAsia" w:eastAsia="仿宋_GB2312" w:cs="仿宋_GB2312"/>
          <w:kern w:val="0"/>
          <w:sz w:val="32"/>
          <w:szCs w:val="32"/>
        </w:rPr>
        <w:t>6.0</w:t>
      </w:r>
      <w:r>
        <w:rPr>
          <w:rFonts w:eastAsia="仿宋_GB2312" w:cs="仿宋_GB2312"/>
          <w:kern w:val="0"/>
          <w:sz w:val="32"/>
          <w:szCs w:val="32"/>
        </w:rPr>
        <w:t>2</w:t>
      </w:r>
      <w:r>
        <w:rPr>
          <w:rFonts w:hint="eastAsia" w:eastAsia="仿宋_GB2312" w:cs="仿宋_GB2312"/>
          <w:kern w:val="0"/>
          <w:sz w:val="32"/>
          <w:szCs w:val="32"/>
        </w:rPr>
        <w:t>-2026.0</w:t>
      </w:r>
      <w:r>
        <w:rPr>
          <w:rFonts w:eastAsia="仿宋_GB2312" w:cs="仿宋_GB2312"/>
          <w:kern w:val="0"/>
          <w:sz w:val="32"/>
          <w:szCs w:val="32"/>
        </w:rPr>
        <w:t>4</w:t>
      </w:r>
      <w:r>
        <w:rPr>
          <w:rFonts w:hint="eastAsia" w:eastAsia="仿宋_GB2312" w:cs="仿宋_GB2312"/>
          <w:kern w:val="0"/>
          <w:sz w:val="32"/>
          <w:szCs w:val="32"/>
        </w:rPr>
        <w:t>新品种新技术示范、培训；</w:t>
      </w:r>
      <w:r>
        <w:rPr>
          <w:rFonts w:eastAsia="仿宋_GB2312" w:cs="仿宋_GB2312"/>
          <w:kern w:val="0"/>
          <w:sz w:val="32"/>
          <w:szCs w:val="32"/>
        </w:rPr>
        <w:t>202</w:t>
      </w:r>
      <w:r>
        <w:rPr>
          <w:rFonts w:hint="eastAsia" w:eastAsia="仿宋_GB2312" w:cs="仿宋_GB2312"/>
          <w:kern w:val="0"/>
          <w:sz w:val="32"/>
          <w:szCs w:val="32"/>
        </w:rPr>
        <w:t>6.0</w:t>
      </w:r>
      <w:r>
        <w:rPr>
          <w:rFonts w:eastAsia="仿宋_GB2312" w:cs="仿宋_GB2312"/>
          <w:kern w:val="0"/>
          <w:sz w:val="32"/>
          <w:szCs w:val="32"/>
        </w:rPr>
        <w:t>5</w:t>
      </w:r>
      <w:r>
        <w:rPr>
          <w:rFonts w:hint="eastAsia" w:eastAsia="仿宋_GB2312" w:cs="仿宋_GB2312"/>
          <w:kern w:val="0"/>
          <w:sz w:val="32"/>
          <w:szCs w:val="32"/>
        </w:rPr>
        <w:t>进行项目总结验收。</w:t>
      </w:r>
    </w:p>
    <w:p w14:paraId="0A55398A">
      <w:pPr>
        <w:spacing w:line="578" w:lineRule="exact"/>
        <w:rPr>
          <w:rFonts w:eastAsia="仿宋_GB2312" w:cs="仿宋_GB2312"/>
          <w:b/>
          <w:kern w:val="0"/>
          <w:sz w:val="32"/>
          <w:szCs w:val="32"/>
        </w:rPr>
      </w:pPr>
      <w:r>
        <w:rPr>
          <w:rFonts w:hint="eastAsia" w:eastAsia="仿宋_GB2312" w:cs="仿宋_GB2312"/>
          <w:b/>
          <w:kern w:val="0"/>
          <w:sz w:val="32"/>
          <w:szCs w:val="32"/>
        </w:rPr>
        <w:t>3</w:t>
      </w:r>
      <w:r>
        <w:rPr>
          <w:rFonts w:eastAsia="仿宋_GB2312" w:cs="仿宋_GB2312"/>
          <w:b/>
          <w:kern w:val="0"/>
          <w:sz w:val="32"/>
          <w:szCs w:val="32"/>
        </w:rPr>
        <w:t>.分析评价申报内容是否与实际相符，申报目标是否合理可行。</w:t>
      </w:r>
    </w:p>
    <w:p w14:paraId="1143AD85">
      <w:pPr>
        <w:spacing w:line="578" w:lineRule="exact"/>
        <w:ind w:firstLine="640"/>
        <w:rPr>
          <w:rFonts w:eastAsia="仿宋_GB2312" w:cs="仿宋_GB2312"/>
          <w:kern w:val="0"/>
          <w:sz w:val="32"/>
          <w:szCs w:val="32"/>
        </w:rPr>
      </w:pPr>
      <w:r>
        <w:rPr>
          <w:rFonts w:hint="eastAsia" w:eastAsia="仿宋_GB2312" w:cs="仿宋_GB2312"/>
          <w:kern w:val="0"/>
          <w:sz w:val="32"/>
          <w:szCs w:val="32"/>
        </w:rPr>
        <w:t>项目申报内容与攀枝花市红格镇</w:t>
      </w:r>
      <w:r>
        <w:rPr>
          <w:rFonts w:hint="eastAsia" w:ascii="宋体" w:hAnsi="宋体" w:cs="宋体"/>
          <w:kern w:val="0"/>
          <w:sz w:val="32"/>
          <w:szCs w:val="32"/>
        </w:rPr>
        <w:t>鲊</w:t>
      </w:r>
      <w:r>
        <w:rPr>
          <w:rFonts w:hint="eastAsia" w:ascii="仿宋_GB2312" w:hAnsi="仿宋_GB2312" w:eastAsia="仿宋_GB2312" w:cs="仿宋_GB2312"/>
          <w:kern w:val="0"/>
          <w:sz w:val="32"/>
          <w:szCs w:val="32"/>
        </w:rPr>
        <w:t>石村露</w:t>
      </w:r>
      <w:r>
        <w:rPr>
          <w:rFonts w:hint="eastAsia" w:eastAsia="仿宋_GB2312" w:cs="仿宋_GB2312"/>
          <w:kern w:val="0"/>
          <w:sz w:val="32"/>
          <w:szCs w:val="32"/>
        </w:rPr>
        <w:t>天番茄生产产业</w:t>
      </w:r>
      <w:r>
        <w:rPr>
          <w:rFonts w:eastAsia="仿宋_GB2312" w:cs="仿宋_GB2312"/>
          <w:kern w:val="0"/>
          <w:sz w:val="32"/>
          <w:szCs w:val="32"/>
        </w:rPr>
        <w:t>实际相符</w:t>
      </w:r>
      <w:r>
        <w:rPr>
          <w:rFonts w:hint="eastAsia" w:eastAsia="仿宋_GB2312" w:cs="仿宋_GB2312"/>
          <w:kern w:val="0"/>
          <w:sz w:val="32"/>
          <w:szCs w:val="32"/>
        </w:rPr>
        <w:t>，该村过去是攀枝花市种植樱桃番茄面积最大的区域，拥有良好的种植技术基础和交通运输条件。近年来由于市场变化，樱桃番茄种植面积萎缩。目前该村有40亩流转土地，前两年种植的西瓜效益差，一直未寻找到适宜的种植品种，因此选择该村建设高品质番茄科技成果转化示范基地，</w:t>
      </w:r>
      <w:r>
        <w:rPr>
          <w:rFonts w:eastAsia="仿宋_GB2312" w:cs="仿宋_GB2312"/>
          <w:kern w:val="0"/>
          <w:sz w:val="32"/>
          <w:szCs w:val="32"/>
        </w:rPr>
        <w:t>有利于助推该村集体经济发展、当地农民增收，还有利于我市番茄产业转型升级，打造出财政、农业科技资源要素整合助力高质量建设共同富裕试验区的样板</w:t>
      </w:r>
      <w:r>
        <w:rPr>
          <w:rFonts w:hint="eastAsia" w:eastAsia="仿宋_GB2312" w:cs="仿宋_GB2312"/>
          <w:kern w:val="0"/>
          <w:sz w:val="32"/>
          <w:szCs w:val="32"/>
        </w:rPr>
        <w:t>，</w:t>
      </w:r>
      <w:r>
        <w:rPr>
          <w:rFonts w:eastAsia="仿宋_GB2312" w:cs="仿宋_GB2312"/>
          <w:kern w:val="0"/>
          <w:sz w:val="32"/>
          <w:szCs w:val="32"/>
        </w:rPr>
        <w:t>申报目标合理可行。</w:t>
      </w:r>
    </w:p>
    <w:p w14:paraId="7D3B5C4E">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23993CDD">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项目绩效自评采用的组织实施步骤及方法：根据项目情况和评价重点，采用案卷研究法、单位自评法、实地勘察法等多种方法。</w:t>
      </w:r>
    </w:p>
    <w:p w14:paraId="04E19F57">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38AA5175">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0A15CA55">
      <w:pPr>
        <w:spacing w:line="578" w:lineRule="exact"/>
        <w:ind w:firstLine="640"/>
        <w:rPr>
          <w:rFonts w:eastAsia="仿宋_GB2312" w:cs="仿宋_GB2312"/>
          <w:kern w:val="0"/>
          <w:sz w:val="32"/>
          <w:szCs w:val="32"/>
        </w:rPr>
      </w:pPr>
      <w:r>
        <w:rPr>
          <w:rFonts w:eastAsia="仿宋_GB2312" w:cs="仿宋_GB2312"/>
          <w:kern w:val="0"/>
          <w:sz w:val="32"/>
          <w:szCs w:val="32"/>
        </w:rPr>
        <w:t>项目资金申报</w:t>
      </w:r>
      <w:r>
        <w:rPr>
          <w:rFonts w:hint="eastAsia" w:eastAsia="仿宋_GB2312" w:cs="仿宋_GB2312"/>
          <w:kern w:val="0"/>
          <w:sz w:val="32"/>
          <w:szCs w:val="32"/>
        </w:rPr>
        <w:t>、</w:t>
      </w:r>
      <w:r>
        <w:rPr>
          <w:rFonts w:eastAsia="仿宋_GB2312" w:cs="仿宋_GB2312"/>
          <w:kern w:val="0"/>
          <w:sz w:val="32"/>
          <w:szCs w:val="32"/>
        </w:rPr>
        <w:t>批复</w:t>
      </w:r>
      <w:r>
        <w:rPr>
          <w:rFonts w:hint="eastAsia" w:eastAsia="仿宋_GB2312" w:cs="仿宋_GB2312"/>
          <w:kern w:val="0"/>
          <w:sz w:val="32"/>
          <w:szCs w:val="32"/>
        </w:rPr>
        <w:t>资金15万元，没有</w:t>
      </w:r>
      <w:r>
        <w:rPr>
          <w:rFonts w:eastAsia="仿宋_GB2312" w:cs="仿宋_GB2312"/>
          <w:kern w:val="0"/>
          <w:sz w:val="32"/>
          <w:szCs w:val="32"/>
        </w:rPr>
        <w:t>预算调整情况。</w:t>
      </w:r>
      <w:r>
        <w:rPr>
          <w:rFonts w:hint="eastAsia" w:eastAsia="仿宋_GB2312" w:cs="仿宋_GB2312"/>
          <w:kern w:val="0"/>
          <w:sz w:val="32"/>
          <w:szCs w:val="32"/>
        </w:rPr>
        <w:t>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项目经费手续完整、程序合规。</w:t>
      </w:r>
    </w:p>
    <w:p w14:paraId="074B9A8D">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1557B233">
      <w:pPr>
        <w:spacing w:line="578" w:lineRule="exact"/>
        <w:ind w:firstLine="640"/>
        <w:rPr>
          <w:rFonts w:eastAsia="仿宋_GB2312" w:cs="仿宋_GB2312"/>
          <w:b/>
          <w:kern w:val="0"/>
          <w:sz w:val="32"/>
          <w:szCs w:val="32"/>
        </w:rPr>
      </w:pPr>
      <w:r>
        <w:rPr>
          <w:rFonts w:eastAsia="仿宋_GB2312" w:cs="仿宋_GB2312"/>
          <w:b/>
          <w:kern w:val="0"/>
          <w:sz w:val="32"/>
          <w:szCs w:val="32"/>
        </w:rPr>
        <w:t>1．资金计划</w:t>
      </w:r>
    </w:p>
    <w:p w14:paraId="707BB1FA">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本项目总预算15万元，</w:t>
      </w:r>
    </w:p>
    <w:p w14:paraId="03AEC442">
      <w:pPr>
        <w:spacing w:line="578" w:lineRule="exact"/>
        <w:ind w:firstLine="64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资金到位</w:t>
      </w:r>
    </w:p>
    <w:p w14:paraId="61DB6C51">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本项目资金到位15万元。</w:t>
      </w:r>
    </w:p>
    <w:p w14:paraId="701151B4">
      <w:pPr>
        <w:spacing w:line="578" w:lineRule="exact"/>
        <w:ind w:firstLine="640"/>
        <w:rPr>
          <w:rFonts w:eastAsia="仿宋_GB2312" w:cs="仿宋_GB2312"/>
          <w:b/>
          <w:kern w:val="0"/>
          <w:sz w:val="32"/>
          <w:szCs w:val="32"/>
        </w:rPr>
      </w:pPr>
      <w:r>
        <w:rPr>
          <w:rFonts w:eastAsia="仿宋_GB2312" w:cs="仿宋_GB2312"/>
          <w:b/>
          <w:kern w:val="0"/>
          <w:sz w:val="32"/>
          <w:szCs w:val="32"/>
        </w:rPr>
        <w:t>3．资金使用</w:t>
      </w:r>
    </w:p>
    <w:p w14:paraId="738AB1A8">
      <w:pPr>
        <w:spacing w:line="578" w:lineRule="exact"/>
        <w:ind w:firstLine="640"/>
        <w:rPr>
          <w:rFonts w:eastAsia="仿宋_GB2312" w:cs="仿宋_GB2312"/>
          <w:kern w:val="0"/>
          <w:sz w:val="32"/>
          <w:szCs w:val="32"/>
        </w:rPr>
      </w:pPr>
      <w:r>
        <w:rPr>
          <w:rFonts w:hint="eastAsia" w:eastAsia="仿宋_GB2312" w:cs="仿宋_GB2312"/>
          <w:kern w:val="0"/>
          <w:sz w:val="32"/>
          <w:szCs w:val="32"/>
        </w:rPr>
        <w:t>2025年度经费执行15万元，支出全部为专用材料费，预算执行率100%。</w:t>
      </w:r>
    </w:p>
    <w:p w14:paraId="6EE9D4E4">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2BED5A01">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综上所述，项目资金的使用安全、规范、有效，资金支付范围、支付标准、支付进度、支付依据等合规合法</w:t>
      </w:r>
      <w:r>
        <w:rPr>
          <w:rFonts w:eastAsia="仿宋_GB2312" w:cs="仿宋_GB2312"/>
          <w:kern w:val="0"/>
          <w:sz w:val="32"/>
          <w:szCs w:val="32"/>
        </w:rPr>
        <w:t>。</w:t>
      </w:r>
    </w:p>
    <w:p w14:paraId="2FD81F94">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751C958B">
      <w:pPr>
        <w:spacing w:line="578" w:lineRule="exact"/>
        <w:ind w:firstLine="640"/>
        <w:rPr>
          <w:rFonts w:eastAsia="仿宋_GB2312" w:cs="仿宋_GB2312"/>
          <w:b/>
          <w:kern w:val="0"/>
          <w:sz w:val="32"/>
          <w:szCs w:val="32"/>
        </w:rPr>
      </w:pPr>
      <w:r>
        <w:rPr>
          <w:rFonts w:eastAsia="仿宋_GB2312" w:cs="仿宋_GB2312"/>
          <w:b/>
          <w:kern w:val="0"/>
          <w:sz w:val="32"/>
          <w:szCs w:val="32"/>
        </w:rPr>
        <w:t>（一）项目组织架构及实施流程。</w:t>
      </w:r>
    </w:p>
    <w:p w14:paraId="7985ADFC">
      <w:pPr>
        <w:spacing w:line="578" w:lineRule="exact"/>
        <w:ind w:firstLine="640"/>
        <w:jc w:val="center"/>
        <w:rPr>
          <w:rFonts w:eastAsia="仿宋_GB2312" w:cs="仿宋_GB2312"/>
          <w:kern w:val="0"/>
          <w:sz w:val="32"/>
          <w:szCs w:val="32"/>
        </w:rPr>
      </w:pPr>
      <w:r>
        <w:rPr>
          <w:rFonts w:eastAsia="仿宋_GB2312" w:cs="仿宋_GB2312"/>
          <w:kern w:val="0"/>
          <w:sz w:val="32"/>
          <w:szCs w:val="32"/>
        </w:rPr>
        <w:t>评价组人员构成</w:t>
      </w:r>
      <w:r>
        <w:rPr>
          <w:rFonts w:hint="eastAsia" w:eastAsia="仿宋_GB2312" w:cs="仿宋_GB2312"/>
          <w:kern w:val="0"/>
          <w:sz w:val="32"/>
          <w:szCs w:val="32"/>
        </w:rPr>
        <w:t>和</w:t>
      </w:r>
      <w:r>
        <w:rPr>
          <w:rFonts w:eastAsia="仿宋_GB2312" w:cs="仿宋_GB2312"/>
          <w:kern w:val="0"/>
          <w:sz w:val="32"/>
          <w:szCs w:val="32"/>
        </w:rPr>
        <w:t>职责分工见下表</w:t>
      </w:r>
      <w:r>
        <w:rPr>
          <w:rFonts w:hint="eastAsia" w:eastAsia="仿宋_GB2312" w:cs="仿宋_GB2312"/>
          <w:kern w:val="0"/>
          <w:sz w:val="32"/>
          <w:szCs w:val="32"/>
        </w:rPr>
        <w:t>。</w:t>
      </w:r>
    </w:p>
    <w:tbl>
      <w:tblPr>
        <w:tblStyle w:val="18"/>
        <w:tblW w:w="813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6351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715" w:type="dxa"/>
            <w:tcBorders>
              <w:tl2br w:val="nil"/>
              <w:tr2bl w:val="nil"/>
            </w:tcBorders>
            <w:vAlign w:val="center"/>
          </w:tcPr>
          <w:p w14:paraId="062C6DCA">
            <w:pPr>
              <w:jc w:val="center"/>
              <w:rPr>
                <w:sz w:val="24"/>
              </w:rPr>
            </w:pPr>
            <w:r>
              <w:rPr>
                <w:sz w:val="24"/>
              </w:rPr>
              <w:t>姓  名</w:t>
            </w:r>
          </w:p>
        </w:tc>
        <w:tc>
          <w:tcPr>
            <w:tcW w:w="6416" w:type="dxa"/>
            <w:tcBorders>
              <w:tl2br w:val="nil"/>
              <w:tr2bl w:val="nil"/>
            </w:tcBorders>
            <w:vAlign w:val="center"/>
          </w:tcPr>
          <w:p w14:paraId="3B0A1729">
            <w:pPr>
              <w:jc w:val="center"/>
              <w:rPr>
                <w:sz w:val="24"/>
              </w:rPr>
            </w:pPr>
            <w:r>
              <w:rPr>
                <w:sz w:val="24"/>
              </w:rPr>
              <w:t>职责分工</w:t>
            </w:r>
          </w:p>
        </w:tc>
      </w:tr>
      <w:tr w14:paraId="6782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31A6DD6C">
            <w:pPr>
              <w:jc w:val="center"/>
              <w:rPr>
                <w:sz w:val="24"/>
              </w:rPr>
            </w:pPr>
            <w:r>
              <w:rPr>
                <w:rFonts w:hint="eastAsia"/>
                <w:sz w:val="24"/>
              </w:rPr>
              <w:t>刘琼</w:t>
            </w:r>
          </w:p>
        </w:tc>
        <w:tc>
          <w:tcPr>
            <w:tcW w:w="6416" w:type="dxa"/>
            <w:tcBorders>
              <w:tl2br w:val="nil"/>
              <w:tr2bl w:val="nil"/>
            </w:tcBorders>
            <w:vAlign w:val="center"/>
          </w:tcPr>
          <w:p w14:paraId="23854048">
            <w:pPr>
              <w:jc w:val="center"/>
              <w:rPr>
                <w:sz w:val="24"/>
              </w:rPr>
            </w:pPr>
            <w:r>
              <w:rPr>
                <w:sz w:val="24"/>
              </w:rPr>
              <w:t>组长，负责</w:t>
            </w:r>
            <w:r>
              <w:rPr>
                <w:rFonts w:hint="eastAsia"/>
                <w:sz w:val="24"/>
              </w:rPr>
              <w:t>项目</w:t>
            </w:r>
            <w:r>
              <w:rPr>
                <w:sz w:val="24"/>
              </w:rPr>
              <w:t>全面工作。</w:t>
            </w:r>
          </w:p>
        </w:tc>
      </w:tr>
      <w:tr w14:paraId="119D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5" w:type="dxa"/>
            <w:tcBorders>
              <w:tl2br w:val="nil"/>
              <w:tr2bl w:val="nil"/>
            </w:tcBorders>
            <w:vAlign w:val="center"/>
          </w:tcPr>
          <w:p w14:paraId="391EB604">
            <w:pPr>
              <w:jc w:val="center"/>
              <w:rPr>
                <w:sz w:val="24"/>
              </w:rPr>
            </w:pPr>
            <w:r>
              <w:rPr>
                <w:rFonts w:hint="eastAsia"/>
                <w:sz w:val="24"/>
              </w:rPr>
              <w:t>杨晓峰</w:t>
            </w:r>
          </w:p>
        </w:tc>
        <w:tc>
          <w:tcPr>
            <w:tcW w:w="6416" w:type="dxa"/>
            <w:tcBorders>
              <w:tl2br w:val="nil"/>
              <w:tr2bl w:val="nil"/>
            </w:tcBorders>
            <w:vAlign w:val="center"/>
          </w:tcPr>
          <w:p w14:paraId="04F0C33F">
            <w:pPr>
              <w:jc w:val="center"/>
              <w:rPr>
                <w:sz w:val="24"/>
              </w:rPr>
            </w:pPr>
            <w:r>
              <w:rPr>
                <w:sz w:val="24"/>
              </w:rPr>
              <w:t>副组长，</w:t>
            </w:r>
            <w:r>
              <w:rPr>
                <w:rFonts w:hint="eastAsia"/>
                <w:sz w:val="24"/>
              </w:rPr>
              <w:t>负责联络协调及</w:t>
            </w:r>
            <w:r>
              <w:rPr>
                <w:sz w:val="24"/>
              </w:rPr>
              <w:t>团队评价材料收集、整理。</w:t>
            </w:r>
          </w:p>
        </w:tc>
      </w:tr>
      <w:tr w14:paraId="34F9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715" w:type="dxa"/>
            <w:tcBorders>
              <w:tl2br w:val="nil"/>
              <w:tr2bl w:val="nil"/>
            </w:tcBorders>
            <w:vAlign w:val="center"/>
          </w:tcPr>
          <w:p w14:paraId="392601D4">
            <w:pPr>
              <w:jc w:val="center"/>
              <w:rPr>
                <w:sz w:val="24"/>
              </w:rPr>
            </w:pPr>
            <w:r>
              <w:rPr>
                <w:rFonts w:hint="eastAsia"/>
                <w:sz w:val="24"/>
              </w:rPr>
              <w:t>周昌秀</w:t>
            </w:r>
          </w:p>
        </w:tc>
        <w:tc>
          <w:tcPr>
            <w:tcW w:w="6416" w:type="dxa"/>
            <w:tcBorders>
              <w:tl2br w:val="nil"/>
              <w:tr2bl w:val="nil"/>
            </w:tcBorders>
            <w:vAlign w:val="center"/>
          </w:tcPr>
          <w:p w14:paraId="3BB647D8">
            <w:pPr>
              <w:jc w:val="center"/>
              <w:rPr>
                <w:sz w:val="24"/>
              </w:rPr>
            </w:pPr>
            <w:r>
              <w:rPr>
                <w:sz w:val="24"/>
              </w:rPr>
              <w:t>成员，</w:t>
            </w:r>
            <w:r>
              <w:rPr>
                <w:rFonts w:hint="eastAsia"/>
                <w:sz w:val="24"/>
              </w:rPr>
              <w:t>负责示范基地运营及</w:t>
            </w:r>
            <w:r>
              <w:rPr>
                <w:sz w:val="24"/>
              </w:rPr>
              <w:t>评价材料收集理。</w:t>
            </w:r>
          </w:p>
        </w:tc>
      </w:tr>
    </w:tbl>
    <w:p w14:paraId="7EDA9E64">
      <w:pPr>
        <w:spacing w:line="578" w:lineRule="exact"/>
        <w:ind w:firstLine="640"/>
        <w:rPr>
          <w:rFonts w:eastAsia="仿宋_GB2312" w:cs="仿宋_GB2312"/>
          <w:kern w:val="0"/>
          <w:sz w:val="32"/>
          <w:szCs w:val="32"/>
        </w:rPr>
      </w:pPr>
      <w:r>
        <w:rPr>
          <w:rFonts w:hint="eastAsia" w:eastAsia="仿宋_GB2312" w:cs="仿宋_GB2312"/>
          <w:kern w:val="0"/>
          <w:sz w:val="32"/>
          <w:szCs w:val="32"/>
        </w:rPr>
        <w:t>制定目标任务与工作计划，依据分配任务，采用集中式、分组式开展工作。在项目推进过程中，通过微信群进行信息共享与即时沟通，确保工作顺利进行。</w:t>
      </w:r>
    </w:p>
    <w:p w14:paraId="4FC5E662">
      <w:pPr>
        <w:numPr>
          <w:ilvl w:val="0"/>
          <w:numId w:val="6"/>
        </w:numPr>
        <w:spacing w:line="578" w:lineRule="exact"/>
        <w:rPr>
          <w:rFonts w:eastAsia="仿宋_GB2312" w:cs="仿宋_GB2312"/>
          <w:b/>
          <w:kern w:val="0"/>
          <w:sz w:val="32"/>
          <w:szCs w:val="32"/>
        </w:rPr>
      </w:pPr>
      <w:r>
        <w:rPr>
          <w:rFonts w:eastAsia="仿宋_GB2312" w:cs="仿宋_GB2312"/>
          <w:b/>
          <w:kern w:val="0"/>
          <w:sz w:val="32"/>
          <w:szCs w:val="32"/>
        </w:rPr>
        <w:t>项目管理情况。</w:t>
      </w:r>
    </w:p>
    <w:p w14:paraId="69CB0E7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承担单位选择技术骨干组成专门的项目组，项目组负责编写项目实施方案，组织项目实施，撰写总结等，项目下达单位对项目制定的实施方案进行审核，并根据项目实施方案对项目实施过程进行监督和检查，院财务室负责对项目经费开支情况进行审核，项目承担单位科技管理科对项目申报、实施等进行全程监督和管理。</w:t>
      </w:r>
    </w:p>
    <w:p w14:paraId="14B89994">
      <w:pPr>
        <w:numPr>
          <w:ilvl w:val="0"/>
          <w:numId w:val="6"/>
        </w:numPr>
        <w:spacing w:line="578" w:lineRule="exact"/>
        <w:rPr>
          <w:rFonts w:eastAsia="仿宋_GB2312" w:cs="仿宋_GB2312"/>
          <w:b/>
          <w:kern w:val="0"/>
          <w:sz w:val="32"/>
          <w:szCs w:val="32"/>
        </w:rPr>
      </w:pPr>
      <w:r>
        <w:rPr>
          <w:rFonts w:eastAsia="仿宋_GB2312" w:cs="仿宋_GB2312"/>
          <w:b/>
          <w:kern w:val="0"/>
          <w:sz w:val="32"/>
          <w:szCs w:val="32"/>
        </w:rPr>
        <w:t>项目监管情况。</w:t>
      </w:r>
    </w:p>
    <w:p w14:paraId="48BB6AEB">
      <w:pPr>
        <w:spacing w:line="578" w:lineRule="exact"/>
        <w:ind w:firstLine="640"/>
        <w:rPr>
          <w:rFonts w:eastAsia="仿宋_GB2312" w:cs="仿宋_GB2312"/>
          <w:b/>
          <w:kern w:val="0"/>
          <w:sz w:val="32"/>
          <w:szCs w:val="32"/>
        </w:rPr>
      </w:pPr>
      <w:r>
        <w:rPr>
          <w:rFonts w:hint="eastAsia" w:eastAsia="仿宋_GB2312" w:cs="仿宋_GB2312"/>
          <w:kern w:val="0"/>
          <w:sz w:val="32"/>
          <w:szCs w:val="32"/>
        </w:rPr>
        <w:t>主管部门要求团队定期提供工作推进情况，提供相关活动资料和数据。每年组织单位学术委员会对项目进展情况进行年度项目考核。</w:t>
      </w:r>
    </w:p>
    <w:p w14:paraId="27922AE8">
      <w:pPr>
        <w:pStyle w:val="39"/>
        <w:spacing w:before="0" w:beforeAutospacing="0" w:after="0" w:afterAutospacing="0" w:line="600" w:lineRule="exact"/>
        <w:ind w:firstLine="720"/>
        <w:jc w:val="both"/>
        <w:rPr>
          <w:rFonts w:eastAsia="仿宋_GB2312" w:cs="仿宋_GB2312"/>
          <w:sz w:val="32"/>
          <w:szCs w:val="32"/>
        </w:rPr>
      </w:pPr>
      <w:r>
        <w:rPr>
          <w:rFonts w:ascii="黑体" w:hAnsi="黑体" w:eastAsia="黑体"/>
          <w:color w:val="000000"/>
          <w:sz w:val="32"/>
          <w:szCs w:val="32"/>
        </w:rPr>
        <w:t>四、项目绩效情况</w:t>
      </w:r>
    </w:p>
    <w:p w14:paraId="4DD1EAA1">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1F0070DD">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项目绩效完成情况表</w:t>
      </w:r>
    </w:p>
    <w:tbl>
      <w:tblPr>
        <w:tblStyle w:val="18"/>
        <w:tblW w:w="8492" w:type="dxa"/>
        <w:jc w:val="center"/>
        <w:tblLayout w:type="autofit"/>
        <w:tblCellMar>
          <w:top w:w="0" w:type="dxa"/>
          <w:left w:w="108" w:type="dxa"/>
          <w:bottom w:w="0" w:type="dxa"/>
          <w:right w:w="108" w:type="dxa"/>
        </w:tblCellMar>
      </w:tblPr>
      <w:tblGrid>
        <w:gridCol w:w="847"/>
        <w:gridCol w:w="848"/>
        <w:gridCol w:w="848"/>
        <w:gridCol w:w="848"/>
        <w:gridCol w:w="848"/>
        <w:gridCol w:w="848"/>
        <w:gridCol w:w="848"/>
        <w:gridCol w:w="861"/>
        <w:gridCol w:w="848"/>
        <w:gridCol w:w="848"/>
      </w:tblGrid>
      <w:tr w14:paraId="4E15F492">
        <w:tblPrEx>
          <w:tblCellMar>
            <w:top w:w="0" w:type="dxa"/>
            <w:left w:w="108" w:type="dxa"/>
            <w:bottom w:w="0" w:type="dxa"/>
            <w:right w:w="108" w:type="dxa"/>
          </w:tblCellMar>
        </w:tblPrEx>
        <w:trPr>
          <w:trHeight w:val="494" w:hRule="atLeast"/>
          <w:jc w:val="center"/>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F5758">
            <w:pPr>
              <w:widowControl/>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95E7">
            <w:pPr>
              <w:widowControl/>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B577">
            <w:pPr>
              <w:widowControl/>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0CC8">
            <w:pPr>
              <w:widowControl/>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ECE5F">
            <w:pPr>
              <w:widowControl/>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2245">
            <w:pPr>
              <w:widowControl/>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0AB0">
            <w:pPr>
              <w:widowControl/>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D817">
            <w:pPr>
              <w:widowControl/>
              <w:jc w:val="center"/>
              <w:textAlignment w:val="center"/>
              <w:rPr>
                <w:rFonts w:ascii="宋体" w:hAnsi="宋体" w:cs="宋体"/>
                <w:color w:val="000000"/>
                <w:sz w:val="18"/>
                <w:szCs w:val="18"/>
              </w:rPr>
            </w:pPr>
            <w:r>
              <w:rPr>
                <w:rFonts w:ascii="宋体" w:hAnsi="宋体" w:cs="宋体"/>
                <w:color w:val="000000"/>
                <w:kern w:val="0"/>
                <w:sz w:val="18"/>
                <w:szCs w:val="18"/>
              </w:rPr>
              <w:t>得分</w:t>
            </w:r>
          </w:p>
        </w:tc>
      </w:tr>
      <w:tr w14:paraId="2FDA2611">
        <w:tblPrEx>
          <w:tblCellMar>
            <w:top w:w="0" w:type="dxa"/>
            <w:left w:w="108" w:type="dxa"/>
            <w:bottom w:w="0" w:type="dxa"/>
            <w:right w:w="108" w:type="dxa"/>
          </w:tblCellMar>
        </w:tblPrEx>
        <w:trPr>
          <w:trHeight w:val="251"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4156F"/>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329C">
            <w:pPr>
              <w:widowControl/>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F114">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4C9F">
            <w:pPr>
              <w:widowControl/>
              <w:jc w:val="center"/>
              <w:textAlignment w:val="center"/>
              <w:rPr>
                <w:rFonts w:ascii="宋体" w:hAnsi="宋体" w:cs="宋体"/>
                <w:color w:val="000000"/>
                <w:sz w:val="18"/>
                <w:szCs w:val="18"/>
              </w:rPr>
            </w:pPr>
            <w:r>
              <w:rPr>
                <w:rFonts w:ascii="宋体" w:hAnsi="宋体" w:cs="宋体"/>
                <w:color w:val="000000"/>
                <w:kern w:val="0"/>
                <w:sz w:val="18"/>
                <w:szCs w:val="18"/>
              </w:rPr>
              <w:t>15.00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5EEF7">
            <w:pPr>
              <w:widowControl/>
              <w:jc w:val="center"/>
              <w:textAlignment w:val="center"/>
              <w:rPr>
                <w:rFonts w:ascii="宋体" w:hAnsi="宋体" w:cs="宋体"/>
                <w:color w:val="000000"/>
                <w:sz w:val="18"/>
                <w:szCs w:val="18"/>
              </w:rPr>
            </w:pPr>
            <w:r>
              <w:rPr>
                <w:rFonts w:ascii="宋体" w:hAnsi="宋体" w:cs="宋体"/>
                <w:color w:val="000000"/>
                <w:kern w:val="0"/>
                <w:sz w:val="18"/>
                <w:szCs w:val="18"/>
              </w:rPr>
              <w:t>15.00</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5FB0">
            <w:pPr>
              <w:widowControl/>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20FF">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2F0F">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r>
      <w:tr w14:paraId="3E8CBA0F">
        <w:tblPrEx>
          <w:tblCellMar>
            <w:top w:w="0" w:type="dxa"/>
            <w:left w:w="108" w:type="dxa"/>
            <w:bottom w:w="0" w:type="dxa"/>
            <w:right w:w="108" w:type="dxa"/>
          </w:tblCellMar>
        </w:tblPrEx>
        <w:trPr>
          <w:trHeight w:val="494"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0FC8"/>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2C57">
            <w:pPr>
              <w:widowControl/>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1AA4">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AFA8">
            <w:pPr>
              <w:widowControl/>
              <w:jc w:val="center"/>
              <w:textAlignment w:val="center"/>
              <w:rPr>
                <w:rFonts w:ascii="宋体" w:hAnsi="宋体" w:cs="宋体"/>
                <w:color w:val="000000"/>
                <w:sz w:val="18"/>
                <w:szCs w:val="18"/>
              </w:rPr>
            </w:pPr>
            <w:r>
              <w:rPr>
                <w:rFonts w:ascii="宋体" w:hAnsi="宋体" w:cs="宋体"/>
                <w:color w:val="000000"/>
                <w:kern w:val="0"/>
                <w:sz w:val="18"/>
                <w:szCs w:val="18"/>
              </w:rPr>
              <w:t>15.00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9FBA8">
            <w:pPr>
              <w:widowControl/>
              <w:jc w:val="center"/>
              <w:textAlignment w:val="center"/>
              <w:rPr>
                <w:rFonts w:ascii="宋体" w:hAnsi="宋体" w:cs="宋体"/>
                <w:color w:val="000000"/>
                <w:sz w:val="18"/>
                <w:szCs w:val="18"/>
              </w:rPr>
            </w:pPr>
            <w:r>
              <w:rPr>
                <w:rFonts w:ascii="宋体" w:hAnsi="宋体" w:cs="宋体"/>
                <w:color w:val="000000"/>
                <w:kern w:val="0"/>
                <w:sz w:val="18"/>
                <w:szCs w:val="18"/>
              </w:rPr>
              <w:t>15.00</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71BA">
            <w:pPr>
              <w:widowControl/>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0EC9">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CB9B">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r>
      <w:tr w14:paraId="5F6FD67E">
        <w:tblPrEx>
          <w:tblCellMar>
            <w:top w:w="0" w:type="dxa"/>
            <w:left w:w="108" w:type="dxa"/>
            <w:bottom w:w="0" w:type="dxa"/>
            <w:right w:w="108" w:type="dxa"/>
          </w:tblCellMar>
        </w:tblPrEx>
        <w:trPr>
          <w:trHeight w:val="494"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93260"/>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8423">
            <w:pPr>
              <w:widowControl/>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4D48">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EF4F">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C1701">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F581">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7163">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C98B">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r>
      <w:tr w14:paraId="246C9895">
        <w:tblPrEx>
          <w:tblCellMar>
            <w:top w:w="0" w:type="dxa"/>
            <w:left w:w="108" w:type="dxa"/>
            <w:bottom w:w="0" w:type="dxa"/>
            <w:right w:w="108" w:type="dxa"/>
          </w:tblCellMar>
        </w:tblPrEx>
        <w:trPr>
          <w:trHeight w:val="251"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325BC"/>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3175">
            <w:pPr>
              <w:widowControl/>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D83A">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549A">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B0398">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8169">
            <w:pPr>
              <w:widowControl/>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39D7">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3D2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r>
      <w:tr w14:paraId="1B1FF965">
        <w:tblPrEx>
          <w:tblCellMar>
            <w:top w:w="0" w:type="dxa"/>
            <w:left w:w="108" w:type="dxa"/>
            <w:bottom w:w="0" w:type="dxa"/>
            <w:right w:w="108" w:type="dxa"/>
          </w:tblCellMar>
        </w:tblPrEx>
        <w:trPr>
          <w:trHeight w:val="251"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CF92D"/>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6A29">
            <w:pPr>
              <w:widowControl/>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6287">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C8EF">
            <w:pPr>
              <w:jc w:val="center"/>
              <w:rPr>
                <w:rFonts w:ascii="微软雅黑" w:hAnsi="微软雅黑" w:eastAsia="微软雅黑" w:cs="微软雅黑"/>
                <w:i/>
                <w:color w:val="000000"/>
                <w:sz w:val="16"/>
                <w:szCs w:val="16"/>
              </w:rPr>
            </w:pP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9764B">
            <w:pPr>
              <w:jc w:val="center"/>
              <w:rPr>
                <w:rFonts w:ascii="微软雅黑" w:hAnsi="微软雅黑" w:eastAsia="微软雅黑" w:cs="微软雅黑"/>
                <w:i/>
                <w:color w:val="000000"/>
                <w:sz w:val="16"/>
                <w:szCs w:val="16"/>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840C">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B96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9846">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r>
      <w:tr w14:paraId="73D0CD1A">
        <w:tblPrEx>
          <w:tblCellMar>
            <w:top w:w="0" w:type="dxa"/>
            <w:left w:w="108" w:type="dxa"/>
            <w:bottom w:w="0" w:type="dxa"/>
            <w:right w:w="108" w:type="dxa"/>
          </w:tblCellMar>
        </w:tblPrEx>
        <w:trPr>
          <w:trHeight w:val="405" w:hRule="atLeast"/>
          <w:jc w:val="center"/>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C713B">
            <w:pPr>
              <w:widowControl/>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04AC">
            <w:pPr>
              <w:widowControl/>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C595">
            <w:pPr>
              <w:widowControl/>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EA25">
            <w:pPr>
              <w:widowControl/>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5BFE">
            <w:pPr>
              <w:widowControl/>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FF57">
            <w:pPr>
              <w:widowControl/>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E956">
            <w:pPr>
              <w:widowControl/>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FDCC">
            <w:pPr>
              <w:widowControl/>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2DDB">
            <w:pPr>
              <w:widowControl/>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9967">
            <w:pPr>
              <w:widowControl/>
              <w:jc w:val="center"/>
              <w:textAlignment w:val="center"/>
              <w:rPr>
                <w:rFonts w:ascii="宋体" w:hAnsi="宋体" w:cs="宋体"/>
                <w:color w:val="000000"/>
                <w:sz w:val="18"/>
                <w:szCs w:val="18"/>
              </w:rPr>
            </w:pPr>
            <w:r>
              <w:rPr>
                <w:rFonts w:ascii="宋体" w:hAnsi="宋体" w:cs="宋体"/>
                <w:color w:val="000000"/>
                <w:kern w:val="0"/>
                <w:sz w:val="18"/>
                <w:szCs w:val="18"/>
              </w:rPr>
              <w:t>得分</w:t>
            </w:r>
          </w:p>
        </w:tc>
      </w:tr>
      <w:tr w14:paraId="07DE1C0F">
        <w:tblPrEx>
          <w:tblCellMar>
            <w:top w:w="0" w:type="dxa"/>
            <w:left w:w="108" w:type="dxa"/>
            <w:bottom w:w="0" w:type="dxa"/>
            <w:right w:w="108" w:type="dxa"/>
          </w:tblCellMar>
        </w:tblPrEx>
        <w:trPr>
          <w:trHeight w:val="494"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AB795"/>
        </w:tc>
        <w:tc>
          <w:tcPr>
            <w:tcW w:w="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CC938">
            <w:pPr>
              <w:widowControl/>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3E4C">
            <w:pPr>
              <w:widowControl/>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F190">
            <w:pPr>
              <w:widowControl/>
              <w:jc w:val="center"/>
              <w:textAlignment w:val="center"/>
              <w:rPr>
                <w:rFonts w:ascii="宋体" w:hAnsi="宋体" w:cs="宋体"/>
                <w:color w:val="000000"/>
                <w:sz w:val="18"/>
                <w:szCs w:val="18"/>
              </w:rPr>
            </w:pPr>
            <w:r>
              <w:rPr>
                <w:rFonts w:ascii="宋体" w:hAnsi="宋体" w:cs="宋体"/>
                <w:color w:val="000000"/>
                <w:kern w:val="0"/>
                <w:sz w:val="18"/>
                <w:szCs w:val="18"/>
              </w:rPr>
              <w:t>技术指导服务面积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647C">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0086">
            <w:pPr>
              <w:widowControl/>
              <w:jc w:val="center"/>
              <w:textAlignment w:val="center"/>
              <w:rPr>
                <w:rFonts w:ascii="宋体" w:hAnsi="宋体" w:cs="宋体"/>
                <w:color w:val="000000"/>
                <w:sz w:val="18"/>
                <w:szCs w:val="18"/>
              </w:rPr>
            </w:pPr>
            <w:r>
              <w:rPr>
                <w:rFonts w:ascii="宋体" w:hAnsi="宋体" w:cs="宋体"/>
                <w:color w:val="000000"/>
                <w:kern w:val="0"/>
                <w:sz w:val="18"/>
                <w:szCs w:val="18"/>
              </w:rPr>
              <w:t>40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0853">
            <w:pPr>
              <w:widowControl/>
              <w:jc w:val="center"/>
              <w:textAlignment w:val="center"/>
              <w:rPr>
                <w:rFonts w:ascii="宋体" w:hAnsi="宋体" w:cs="宋体"/>
                <w:color w:val="000000"/>
                <w:sz w:val="18"/>
                <w:szCs w:val="18"/>
              </w:rPr>
            </w:pPr>
            <w:r>
              <w:rPr>
                <w:rFonts w:ascii="宋体" w:hAnsi="宋体" w:cs="宋体"/>
                <w:color w:val="000000"/>
                <w:kern w:val="0"/>
                <w:sz w:val="18"/>
                <w:szCs w:val="18"/>
              </w:rPr>
              <w:t>亩</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DF8">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1C8F">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CDE1">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p>
        </w:tc>
      </w:tr>
      <w:tr w14:paraId="0D078ADF">
        <w:tblPrEx>
          <w:tblCellMar>
            <w:top w:w="0" w:type="dxa"/>
            <w:left w:w="108" w:type="dxa"/>
            <w:bottom w:w="0" w:type="dxa"/>
            <w:right w:w="108" w:type="dxa"/>
          </w:tblCellMar>
        </w:tblPrEx>
        <w:trPr>
          <w:trHeight w:val="494"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A91D"/>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B46A"/>
        </w:tc>
        <w:tc>
          <w:tcPr>
            <w:tcW w:w="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81D41">
            <w:pPr>
              <w:widowControl/>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B9E3">
            <w:pPr>
              <w:widowControl/>
              <w:jc w:val="center"/>
              <w:textAlignment w:val="center"/>
              <w:rPr>
                <w:rFonts w:ascii="宋体" w:hAnsi="宋体" w:cs="宋体"/>
                <w:color w:val="000000"/>
                <w:sz w:val="18"/>
                <w:szCs w:val="18"/>
              </w:rPr>
            </w:pPr>
            <w:r>
              <w:rPr>
                <w:rFonts w:ascii="宋体" w:hAnsi="宋体" w:cs="宋体"/>
                <w:color w:val="000000"/>
                <w:kern w:val="0"/>
                <w:sz w:val="18"/>
                <w:szCs w:val="18"/>
              </w:rPr>
              <w:t>建立基地示范数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DB5D">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AD67">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58DE">
            <w:pPr>
              <w:widowControl/>
              <w:jc w:val="center"/>
              <w:textAlignment w:val="center"/>
              <w:rPr>
                <w:rFonts w:ascii="宋体" w:hAnsi="宋体" w:cs="宋体"/>
                <w:color w:val="000000"/>
                <w:sz w:val="18"/>
                <w:szCs w:val="18"/>
              </w:rPr>
            </w:pPr>
            <w:r>
              <w:rPr>
                <w:rFonts w:ascii="宋体" w:hAnsi="宋体" w:cs="宋体"/>
                <w:color w:val="000000"/>
                <w:kern w:val="0"/>
                <w:sz w:val="18"/>
                <w:szCs w:val="18"/>
              </w:rPr>
              <w:t>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FFB5">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138E">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45A6">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r>
      <w:tr w14:paraId="674E547E">
        <w:tblPrEx>
          <w:tblCellMar>
            <w:top w:w="0" w:type="dxa"/>
            <w:left w:w="108" w:type="dxa"/>
            <w:bottom w:w="0" w:type="dxa"/>
            <w:right w:w="108" w:type="dxa"/>
          </w:tblCellMar>
        </w:tblPrEx>
        <w:trPr>
          <w:trHeight w:val="494"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33F12"/>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01C20"/>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D9720"/>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6077">
            <w:pPr>
              <w:widowControl/>
              <w:jc w:val="center"/>
              <w:textAlignment w:val="center"/>
              <w:rPr>
                <w:rFonts w:ascii="宋体" w:hAnsi="宋体" w:cs="宋体"/>
                <w:color w:val="000000"/>
                <w:sz w:val="18"/>
                <w:szCs w:val="18"/>
              </w:rPr>
            </w:pPr>
            <w:r>
              <w:rPr>
                <w:rFonts w:ascii="宋体" w:hAnsi="宋体" w:cs="宋体"/>
                <w:color w:val="000000"/>
                <w:kern w:val="0"/>
                <w:sz w:val="18"/>
                <w:szCs w:val="18"/>
              </w:rPr>
              <w:t>示范新品种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C021">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4E64">
            <w:pPr>
              <w:widowControl/>
              <w:jc w:val="center"/>
              <w:textAlignment w:val="center"/>
              <w:rPr>
                <w:rFonts w:ascii="宋体" w:hAnsi="宋体" w:cs="宋体"/>
                <w:color w:val="000000"/>
                <w:sz w:val="18"/>
                <w:szCs w:val="18"/>
              </w:rPr>
            </w:pPr>
            <w:r>
              <w:rPr>
                <w:rFonts w:ascii="宋体" w:hAnsi="宋体" w:cs="宋体"/>
                <w:color w:val="000000"/>
                <w:kern w:val="0"/>
                <w:sz w:val="18"/>
                <w:szCs w:val="18"/>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9C95">
            <w:pPr>
              <w:widowControl/>
              <w:jc w:val="center"/>
              <w:textAlignment w:val="center"/>
              <w:rPr>
                <w:rFonts w:ascii="宋体" w:hAnsi="宋体" w:cs="宋体"/>
                <w:color w:val="000000"/>
                <w:sz w:val="18"/>
                <w:szCs w:val="18"/>
              </w:rPr>
            </w:pPr>
            <w:r>
              <w:rPr>
                <w:rFonts w:ascii="宋体" w:hAnsi="宋体" w:cs="宋体"/>
                <w:color w:val="000000"/>
                <w:kern w:val="0"/>
                <w:sz w:val="18"/>
                <w:szCs w:val="18"/>
              </w:rPr>
              <w:t>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F860">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8575">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BD37">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r>
      <w:tr w14:paraId="54056B0F">
        <w:tblPrEx>
          <w:tblCellMar>
            <w:top w:w="0" w:type="dxa"/>
            <w:left w:w="108" w:type="dxa"/>
            <w:bottom w:w="0" w:type="dxa"/>
            <w:right w:w="108" w:type="dxa"/>
          </w:tblCellMar>
        </w:tblPrEx>
        <w:trPr>
          <w:trHeight w:val="737"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6F820"/>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D5C45"/>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3906">
            <w:pPr>
              <w:widowControl/>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54D3">
            <w:pPr>
              <w:widowControl/>
              <w:jc w:val="center"/>
              <w:textAlignment w:val="center"/>
              <w:rPr>
                <w:rFonts w:ascii="宋体" w:hAnsi="宋体" w:cs="宋体"/>
                <w:color w:val="000000"/>
                <w:sz w:val="18"/>
                <w:szCs w:val="18"/>
              </w:rPr>
            </w:pPr>
            <w:r>
              <w:rPr>
                <w:rFonts w:ascii="宋体" w:hAnsi="宋体" w:cs="宋体"/>
                <w:color w:val="000000"/>
                <w:kern w:val="0"/>
                <w:sz w:val="18"/>
                <w:szCs w:val="18"/>
              </w:rPr>
              <w:t>资金到位后一年内完成</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86E8">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B89C">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2D38">
            <w:pPr>
              <w:widowControl/>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53FA">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0A49">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90CF">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p>
        </w:tc>
      </w:tr>
      <w:tr w14:paraId="5F38D576">
        <w:tblPrEx>
          <w:tblCellMar>
            <w:top w:w="0" w:type="dxa"/>
            <w:left w:w="108" w:type="dxa"/>
            <w:bottom w:w="0" w:type="dxa"/>
            <w:right w:w="108" w:type="dxa"/>
          </w:tblCellMar>
        </w:tblPrEx>
        <w:trPr>
          <w:trHeight w:val="1168"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AE9CD"/>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E177">
            <w:pPr>
              <w:widowControl/>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3137">
            <w:pPr>
              <w:widowControl/>
              <w:jc w:val="center"/>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79B5">
            <w:pPr>
              <w:widowControl/>
              <w:jc w:val="center"/>
              <w:textAlignment w:val="center"/>
              <w:rPr>
                <w:rFonts w:ascii="宋体" w:hAnsi="宋体" w:cs="宋体"/>
                <w:color w:val="000000"/>
                <w:sz w:val="18"/>
                <w:szCs w:val="18"/>
              </w:rPr>
            </w:pPr>
            <w:r>
              <w:rPr>
                <w:rFonts w:ascii="宋体" w:hAnsi="宋体" w:cs="宋体"/>
                <w:color w:val="000000"/>
                <w:kern w:val="0"/>
                <w:sz w:val="18"/>
                <w:szCs w:val="18"/>
              </w:rPr>
              <w:t>示范品种亩产</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E154">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D40A">
            <w:pPr>
              <w:widowControl/>
              <w:jc w:val="center"/>
              <w:textAlignment w:val="center"/>
              <w:rPr>
                <w:rFonts w:ascii="宋体" w:hAnsi="宋体" w:cs="宋体"/>
                <w:color w:val="000000"/>
                <w:sz w:val="18"/>
                <w:szCs w:val="18"/>
              </w:rPr>
            </w:pPr>
            <w:r>
              <w:rPr>
                <w:rFonts w:ascii="宋体" w:hAnsi="宋体" w:cs="宋体"/>
                <w:color w:val="000000"/>
                <w:kern w:val="0"/>
                <w:sz w:val="18"/>
                <w:szCs w:val="18"/>
              </w:rPr>
              <w:t>5000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680D">
            <w:pPr>
              <w:widowControl/>
              <w:jc w:val="center"/>
              <w:textAlignment w:val="center"/>
              <w:rPr>
                <w:rFonts w:ascii="宋体" w:hAnsi="宋体" w:cs="宋体"/>
                <w:color w:val="000000"/>
                <w:sz w:val="18"/>
                <w:szCs w:val="18"/>
              </w:rPr>
            </w:pPr>
            <w:r>
              <w:rPr>
                <w:rFonts w:ascii="宋体" w:hAnsi="宋体" w:cs="宋体"/>
                <w:color w:val="000000"/>
                <w:kern w:val="0"/>
                <w:sz w:val="18"/>
                <w:szCs w:val="18"/>
              </w:rPr>
              <w:t>公斤</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E86B">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1315">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52AD">
            <w:pPr>
              <w:widowControl/>
              <w:jc w:val="center"/>
              <w:textAlignment w:val="center"/>
              <w:rPr>
                <w:rFonts w:ascii="宋体" w:hAnsi="宋体" w:cs="宋体"/>
                <w:color w:val="000000"/>
                <w:sz w:val="18"/>
                <w:szCs w:val="18"/>
              </w:rPr>
            </w:pPr>
            <w:r>
              <w:rPr>
                <w:rFonts w:ascii="宋体" w:hAnsi="宋体" w:cs="宋体"/>
                <w:color w:val="000000"/>
                <w:kern w:val="0"/>
                <w:sz w:val="18"/>
                <w:szCs w:val="18"/>
              </w:rPr>
              <w:t>5</w:t>
            </w:r>
          </w:p>
        </w:tc>
      </w:tr>
      <w:tr w14:paraId="44607F89">
        <w:tblPrEx>
          <w:tblCellMar>
            <w:top w:w="0" w:type="dxa"/>
            <w:left w:w="108" w:type="dxa"/>
            <w:bottom w:w="0" w:type="dxa"/>
            <w:right w:w="108" w:type="dxa"/>
          </w:tblCellMar>
        </w:tblPrEx>
        <w:trPr>
          <w:trHeight w:val="737" w:hRule="atLeast"/>
          <w:jc w:val="center"/>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D0537"/>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9677">
            <w:pPr>
              <w:widowControl/>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67C7">
            <w:pPr>
              <w:widowControl/>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04B8">
            <w:pPr>
              <w:widowControl/>
              <w:jc w:val="center"/>
              <w:textAlignment w:val="center"/>
              <w:rPr>
                <w:rFonts w:ascii="宋体" w:hAnsi="宋体" w:cs="宋体"/>
                <w:color w:val="000000"/>
                <w:sz w:val="18"/>
                <w:szCs w:val="18"/>
              </w:rPr>
            </w:pPr>
            <w:r>
              <w:rPr>
                <w:rFonts w:ascii="宋体" w:hAnsi="宋体" w:cs="宋体"/>
                <w:color w:val="000000"/>
                <w:kern w:val="0"/>
                <w:sz w:val="18"/>
                <w:szCs w:val="18"/>
              </w:rPr>
              <w:t>农户满意度</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74A6">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CF07">
            <w:pPr>
              <w:widowControl/>
              <w:jc w:val="center"/>
              <w:textAlignment w:val="center"/>
              <w:rPr>
                <w:rFonts w:ascii="宋体" w:hAnsi="宋体" w:cs="宋体"/>
                <w:color w:val="000000"/>
                <w:sz w:val="18"/>
                <w:szCs w:val="18"/>
              </w:rPr>
            </w:pPr>
            <w:r>
              <w:rPr>
                <w:rFonts w:ascii="宋体" w:hAnsi="宋体" w:cs="宋体"/>
                <w:color w:val="000000"/>
                <w:kern w:val="0"/>
                <w:sz w:val="18"/>
                <w:szCs w:val="18"/>
              </w:rPr>
              <w:t>95</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5D8A">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0EFB">
            <w:pPr>
              <w:jc w:val="center"/>
              <w:rPr>
                <w:rFonts w:ascii="微软雅黑" w:hAnsi="微软雅黑" w:eastAsia="微软雅黑" w:cs="微软雅黑"/>
                <w:i/>
                <w:color w:val="000000"/>
                <w:sz w:val="16"/>
                <w:szCs w:val="16"/>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83FD">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A849">
            <w:pPr>
              <w:widowControl/>
              <w:jc w:val="center"/>
              <w:textAlignment w:val="center"/>
              <w:rPr>
                <w:rFonts w:ascii="宋体" w:hAnsi="宋体" w:cs="宋体"/>
                <w:color w:val="000000"/>
                <w:sz w:val="18"/>
                <w:szCs w:val="18"/>
              </w:rPr>
            </w:pPr>
            <w:r>
              <w:rPr>
                <w:rFonts w:ascii="宋体" w:hAnsi="宋体" w:cs="宋体"/>
                <w:color w:val="000000"/>
                <w:kern w:val="0"/>
                <w:sz w:val="18"/>
                <w:szCs w:val="18"/>
              </w:rPr>
              <w:t>10</w:t>
            </w:r>
          </w:p>
        </w:tc>
      </w:tr>
      <w:tr w14:paraId="00FAAAD0">
        <w:tblPrEx>
          <w:tblCellMar>
            <w:top w:w="0" w:type="dxa"/>
            <w:left w:w="108" w:type="dxa"/>
            <w:bottom w:w="0" w:type="dxa"/>
            <w:right w:w="108" w:type="dxa"/>
          </w:tblCellMar>
        </w:tblPrEx>
        <w:trPr>
          <w:trHeight w:val="259" w:hRule="atLeast"/>
          <w:jc w:val="center"/>
        </w:trPr>
        <w:tc>
          <w:tcPr>
            <w:tcW w:w="67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4F2557">
            <w:pPr>
              <w:widowControl/>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D797">
            <w:pPr>
              <w:widowControl/>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E7CE">
            <w:pPr>
              <w:widowControl/>
              <w:jc w:val="right"/>
              <w:textAlignment w:val="center"/>
              <w:rPr>
                <w:rFonts w:ascii="宋体" w:hAnsi="宋体" w:cs="宋体"/>
                <w:color w:val="000000"/>
                <w:sz w:val="18"/>
                <w:szCs w:val="18"/>
              </w:rPr>
            </w:pPr>
            <w:r>
              <w:rPr>
                <w:rFonts w:ascii="宋体" w:hAnsi="宋体" w:cs="宋体"/>
                <w:color w:val="000000"/>
                <w:kern w:val="0"/>
                <w:sz w:val="18"/>
                <w:szCs w:val="18"/>
              </w:rPr>
              <w:t>85</w:t>
            </w:r>
          </w:p>
        </w:tc>
      </w:tr>
    </w:tbl>
    <w:p w14:paraId="4550B6FB">
      <w:pPr>
        <w:numPr>
          <w:ilvl w:val="0"/>
          <w:numId w:val="7"/>
        </w:numPr>
        <w:spacing w:line="578" w:lineRule="exact"/>
        <w:rPr>
          <w:rFonts w:eastAsia="仿宋_GB2312" w:cs="仿宋_GB2312"/>
          <w:kern w:val="0"/>
          <w:sz w:val="32"/>
          <w:szCs w:val="32"/>
        </w:rPr>
      </w:pPr>
      <w:r>
        <w:rPr>
          <w:rFonts w:eastAsia="仿宋_GB2312" w:cs="仿宋_GB2312"/>
          <w:b/>
          <w:kern w:val="0"/>
          <w:sz w:val="32"/>
          <w:szCs w:val="32"/>
        </w:rPr>
        <w:t>项目效益情况。</w:t>
      </w:r>
    </w:p>
    <w:p w14:paraId="63811F1C">
      <w:pPr>
        <w:spacing w:line="578" w:lineRule="exact"/>
        <w:ind w:firstLine="640"/>
        <w:rPr>
          <w:rFonts w:eastAsia="仿宋_GB2312" w:cs="仿宋_GB2312"/>
          <w:kern w:val="0"/>
          <w:sz w:val="32"/>
          <w:szCs w:val="32"/>
        </w:rPr>
      </w:pPr>
      <w:r>
        <w:rPr>
          <w:rFonts w:hint="eastAsia" w:eastAsia="仿宋_GB2312" w:cs="仿宋_GB2312"/>
          <w:kern w:val="0"/>
          <w:sz w:val="32"/>
          <w:szCs w:val="32"/>
        </w:rPr>
        <w:t>项目在红格镇</w:t>
      </w:r>
      <w:r>
        <w:rPr>
          <w:rFonts w:hint="eastAsia" w:ascii="宋体" w:hAnsi="宋体" w:cs="宋体"/>
          <w:kern w:val="0"/>
          <w:sz w:val="32"/>
          <w:szCs w:val="32"/>
        </w:rPr>
        <w:t>鲊</w:t>
      </w:r>
      <w:r>
        <w:rPr>
          <w:rFonts w:hint="eastAsia" w:ascii="仿宋_GB2312" w:hAnsi="仿宋_GB2312" w:eastAsia="仿宋_GB2312" w:cs="仿宋_GB2312"/>
          <w:kern w:val="0"/>
          <w:sz w:val="32"/>
          <w:szCs w:val="32"/>
        </w:rPr>
        <w:t>石村流转土地</w:t>
      </w:r>
      <w:r>
        <w:rPr>
          <w:rFonts w:hint="eastAsia" w:eastAsia="仿宋_GB2312" w:cs="仿宋_GB2312"/>
          <w:kern w:val="0"/>
          <w:sz w:val="32"/>
          <w:szCs w:val="32"/>
        </w:rPr>
        <w:t>40亩，建立高品质番茄生产示范基地1个，示范高品质番茄新品种2个，同时新引进高品质番茄品种10个进行适应性筛选及展示。在示范基地推广应用有机肥替代化肥技术、水肥一体化技术、引进示范开厢覆膜铺滴灌带一体化耕整机等轻简化农业机械，达到节水，节肥，省人工同时提升番茄品质。</w:t>
      </w:r>
    </w:p>
    <w:p w14:paraId="0E0494D7">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30B4529C">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2D700454">
      <w:pPr>
        <w:spacing w:line="578" w:lineRule="exact"/>
        <w:ind w:firstLine="640"/>
        <w:rPr>
          <w:rFonts w:eastAsia="仿宋_GB2312" w:cs="仿宋_GB2312"/>
          <w:kern w:val="0"/>
          <w:sz w:val="32"/>
          <w:szCs w:val="32"/>
        </w:rPr>
      </w:pPr>
      <w:r>
        <w:rPr>
          <w:rFonts w:hint="eastAsia" w:eastAsia="仿宋_GB2312" w:cs="仿宋_GB2312"/>
          <w:kern w:val="0"/>
          <w:sz w:val="32"/>
          <w:szCs w:val="32"/>
        </w:rPr>
        <w:t>自评</w:t>
      </w:r>
      <w:r>
        <w:rPr>
          <w:rFonts w:eastAsia="仿宋_GB2312" w:cs="仿宋_GB2312"/>
          <w:kern w:val="0"/>
          <w:sz w:val="32"/>
          <w:szCs w:val="32"/>
        </w:rPr>
        <w:t>92</w:t>
      </w:r>
      <w:r>
        <w:rPr>
          <w:rFonts w:hint="eastAsia" w:eastAsia="仿宋_GB2312" w:cs="仿宋_GB2312"/>
          <w:kern w:val="0"/>
          <w:sz w:val="32"/>
          <w:szCs w:val="32"/>
        </w:rPr>
        <w:t>分。在年度经费预算执行，绩效指标完，示范基地建设，品种、技术示范等完成好，整体绩效评价为较好</w:t>
      </w:r>
      <w:r>
        <w:rPr>
          <w:rFonts w:eastAsia="仿宋_GB2312" w:cs="仿宋_GB2312"/>
          <w:kern w:val="0"/>
          <w:sz w:val="32"/>
          <w:szCs w:val="32"/>
        </w:rPr>
        <w:t>。</w:t>
      </w:r>
    </w:p>
    <w:p w14:paraId="3C13EDCD">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5D29E51E">
      <w:pPr>
        <w:spacing w:line="578" w:lineRule="exact"/>
        <w:ind w:firstLine="640"/>
        <w:rPr>
          <w:rFonts w:eastAsia="仿宋_GB2312" w:cs="仿宋_GB2312"/>
          <w:kern w:val="0"/>
          <w:sz w:val="32"/>
          <w:szCs w:val="32"/>
        </w:rPr>
      </w:pPr>
      <w:r>
        <w:rPr>
          <w:rFonts w:hint="eastAsia" w:eastAsia="仿宋_GB2312" w:cs="仿宋_GB2312"/>
          <w:kern w:val="0"/>
          <w:sz w:val="32"/>
          <w:szCs w:val="32"/>
        </w:rPr>
        <w:t>项目实施过程中又有基地新建，前期准备不足，只安排了一个茬口，造成番茄生产季节单一，上市时间较晚。</w:t>
      </w:r>
    </w:p>
    <w:p w14:paraId="3F7405DF">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719FE1C1">
      <w:pPr>
        <w:spacing w:line="578" w:lineRule="exact"/>
        <w:ind w:firstLine="640"/>
        <w:rPr>
          <w:rFonts w:eastAsia="仿宋_GB2312" w:cs="仿宋_GB2312"/>
          <w:kern w:val="0"/>
          <w:sz w:val="32"/>
          <w:szCs w:val="32"/>
        </w:rPr>
      </w:pPr>
      <w:r>
        <w:rPr>
          <w:rFonts w:hint="eastAsia" w:eastAsia="仿宋_GB2312" w:cs="仿宋_GB2312"/>
          <w:kern w:val="0"/>
          <w:sz w:val="32"/>
          <w:szCs w:val="32"/>
        </w:rPr>
        <w:t>无</w:t>
      </w:r>
      <w:r>
        <w:rPr>
          <w:rFonts w:eastAsia="仿宋_GB2312" w:cs="仿宋_GB2312"/>
          <w:kern w:val="0"/>
          <w:sz w:val="32"/>
          <w:szCs w:val="32"/>
        </w:rPr>
        <w:t>。</w:t>
      </w:r>
    </w:p>
    <w:p w14:paraId="4A24A4AA">
      <w:pPr>
        <w:spacing w:line="578" w:lineRule="exact"/>
        <w:ind w:firstLine="640"/>
        <w:jc w:val="center"/>
        <w:rPr>
          <w:rFonts w:ascii="方正小标宋简体" w:eastAsia="方正小标宋简体" w:cs="仿宋_GB2312" w:hAnsiTheme="minorEastAsia"/>
          <w:kern w:val="0"/>
          <w:sz w:val="40"/>
          <w:szCs w:val="40"/>
        </w:rPr>
      </w:pPr>
    </w:p>
    <w:p w14:paraId="6C5D1C50">
      <w:pPr>
        <w:spacing w:line="578" w:lineRule="exact"/>
        <w:jc w:val="center"/>
        <w:rPr>
          <w:rFonts w:ascii="方正小标宋简体" w:eastAsia="方正小标宋简体" w:cs="仿宋_GB2312" w:hAnsiTheme="minorEastAsia"/>
          <w:kern w:val="0"/>
          <w:sz w:val="40"/>
          <w:szCs w:val="40"/>
        </w:rPr>
      </w:pPr>
      <w:r>
        <w:rPr>
          <w:rFonts w:ascii="方正小标宋简体" w:eastAsia="方正小标宋简体" w:cs="仿宋_GB2312" w:hAnsiTheme="minorEastAsia"/>
          <w:kern w:val="0"/>
          <w:sz w:val="40"/>
          <w:szCs w:val="40"/>
        </w:rPr>
        <w:br w:type="page"/>
      </w:r>
    </w:p>
    <w:p w14:paraId="0B4E1B3F">
      <w:pPr>
        <w:spacing w:line="578" w:lineRule="exact"/>
        <w:jc w:val="center"/>
        <w:rPr>
          <w:rFonts w:ascii="方正小标宋简体" w:eastAsia="方正小标宋简体" w:cs="仿宋_GB2312" w:hAnsiTheme="minorEastAsia"/>
          <w:kern w:val="0"/>
          <w:sz w:val="40"/>
          <w:szCs w:val="40"/>
        </w:rPr>
      </w:pPr>
      <w:r>
        <w:rPr>
          <w:rFonts w:hint="eastAsia" w:ascii="方正小标宋简体" w:eastAsia="方正小标宋简体" w:cs="仿宋_GB2312" w:hAnsiTheme="minorEastAsia"/>
          <w:kern w:val="0"/>
          <w:sz w:val="40"/>
          <w:szCs w:val="40"/>
        </w:rPr>
        <w:t>专项预算项目支出绩效自评报告</w:t>
      </w:r>
    </w:p>
    <w:p w14:paraId="208169D5">
      <w:pPr>
        <w:spacing w:line="578" w:lineRule="exact"/>
        <w:ind w:firstLine="640"/>
        <w:jc w:val="center"/>
        <w:rPr>
          <w:rFonts w:ascii="方正小标宋简体" w:eastAsia="方正小标宋简体" w:cs="仿宋_GB2312" w:hAnsiTheme="minorEastAsia"/>
          <w:kern w:val="0"/>
          <w:sz w:val="40"/>
          <w:szCs w:val="40"/>
        </w:rPr>
      </w:pPr>
      <w:r>
        <w:rPr>
          <w:rFonts w:hint="eastAsia" w:ascii="方正小标宋简体" w:eastAsia="方正小标宋简体" w:cs="仿宋_GB2312" w:hAnsiTheme="minorEastAsia"/>
          <w:kern w:val="0"/>
          <w:sz w:val="40"/>
          <w:szCs w:val="40"/>
        </w:rPr>
        <w:t>国家现代农业产业技术体系四川创新团队</w:t>
      </w:r>
    </w:p>
    <w:p w14:paraId="5AB889CB">
      <w:pPr>
        <w:spacing w:line="578" w:lineRule="exact"/>
        <w:ind w:firstLine="640"/>
        <w:jc w:val="center"/>
        <w:rPr>
          <w:rFonts w:ascii="方正小标宋简体" w:eastAsia="方正小标宋简体" w:cs="仿宋_GB2312" w:hAnsiTheme="minorEastAsia"/>
          <w:kern w:val="0"/>
          <w:sz w:val="40"/>
          <w:szCs w:val="40"/>
        </w:rPr>
      </w:pPr>
      <w:r>
        <w:rPr>
          <w:rFonts w:hint="eastAsia" w:ascii="方正小标宋简体" w:eastAsia="方正小标宋简体" w:cs="仿宋_GB2312" w:hAnsiTheme="minorEastAsia"/>
          <w:kern w:val="0"/>
          <w:sz w:val="40"/>
          <w:szCs w:val="40"/>
        </w:rPr>
        <w:t>建设专项资金项目</w:t>
      </w:r>
    </w:p>
    <w:p w14:paraId="1FF7C5BC">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3318AB0B">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3618DE67">
      <w:pPr>
        <w:spacing w:line="578" w:lineRule="exact"/>
        <w:ind w:firstLine="640"/>
        <w:rPr>
          <w:rFonts w:eastAsia="仿宋_GB2312" w:cs="仿宋_GB2312"/>
          <w:b/>
          <w:kern w:val="0"/>
          <w:sz w:val="32"/>
          <w:szCs w:val="32"/>
        </w:rPr>
      </w:pPr>
      <w:r>
        <w:rPr>
          <w:rFonts w:eastAsia="仿宋_GB2312" w:cs="仿宋_GB2312"/>
          <w:b/>
          <w:kern w:val="0"/>
          <w:sz w:val="32"/>
          <w:szCs w:val="32"/>
        </w:rPr>
        <w:t>1.说明项目主管部门在该项目管理中的职能。</w:t>
      </w:r>
    </w:p>
    <w:p w14:paraId="31A4D916">
      <w:pPr>
        <w:spacing w:line="578" w:lineRule="exact"/>
        <w:ind w:firstLine="640"/>
        <w:rPr>
          <w:rFonts w:eastAsia="仿宋_GB2312" w:cs="仿宋_GB2312"/>
          <w:kern w:val="0"/>
          <w:sz w:val="32"/>
          <w:szCs w:val="32"/>
        </w:rPr>
      </w:pPr>
      <w:r>
        <w:rPr>
          <w:rFonts w:eastAsia="仿宋_GB2312" w:cs="仿宋_GB2312"/>
          <w:kern w:val="0"/>
          <w:sz w:val="32"/>
          <w:szCs w:val="32"/>
        </w:rPr>
        <w:t>本单位在四川创新团队建设项目管理中发挥着关键职能</w:t>
      </w:r>
      <w:r>
        <w:rPr>
          <w:rFonts w:hint="eastAsia" w:eastAsia="仿宋_GB2312" w:cs="仿宋_GB2312"/>
          <w:kern w:val="0"/>
          <w:sz w:val="32"/>
          <w:szCs w:val="32"/>
        </w:rPr>
        <w:t>，确保项目与市委、市政府重大决策部署一致</w:t>
      </w:r>
      <w:r>
        <w:rPr>
          <w:rFonts w:eastAsia="仿宋_GB2312" w:cs="仿宋_GB2312"/>
          <w:kern w:val="0"/>
          <w:sz w:val="32"/>
          <w:szCs w:val="32"/>
        </w:rPr>
        <w:t>。主要负责制定项目目标，确保</w:t>
      </w:r>
      <w:r>
        <w:rPr>
          <w:rFonts w:hint="eastAsia" w:eastAsia="仿宋_GB2312" w:cs="仿宋_GB2312"/>
          <w:kern w:val="0"/>
          <w:sz w:val="32"/>
          <w:szCs w:val="32"/>
        </w:rPr>
        <w:t>项目所需的资金、技术和科研力量的合理调节配置</w:t>
      </w:r>
      <w:r>
        <w:rPr>
          <w:rFonts w:eastAsia="仿宋_GB2312" w:cs="仿宋_GB2312"/>
          <w:kern w:val="0"/>
          <w:sz w:val="32"/>
          <w:szCs w:val="32"/>
        </w:rPr>
        <w:t>，全面监督项目进度与质量，及时解决潜在问题，确保项目</w:t>
      </w:r>
      <w:r>
        <w:rPr>
          <w:rFonts w:hint="eastAsia" w:eastAsia="仿宋_GB2312" w:cs="仿宋_GB2312"/>
          <w:kern w:val="0"/>
          <w:sz w:val="32"/>
          <w:szCs w:val="32"/>
        </w:rPr>
        <w:t>子课题（岗位）按照</w:t>
      </w:r>
      <w:r>
        <w:rPr>
          <w:rFonts w:eastAsia="仿宋_GB2312" w:cs="仿宋_GB2312"/>
          <w:kern w:val="0"/>
          <w:sz w:val="32"/>
          <w:szCs w:val="32"/>
        </w:rPr>
        <w:t>计划</w:t>
      </w:r>
      <w:r>
        <w:rPr>
          <w:rFonts w:hint="eastAsia" w:eastAsia="仿宋_GB2312" w:cs="仿宋_GB2312"/>
          <w:kern w:val="0"/>
          <w:sz w:val="32"/>
          <w:szCs w:val="32"/>
        </w:rPr>
        <w:t>顺利</w:t>
      </w:r>
      <w:r>
        <w:rPr>
          <w:rFonts w:eastAsia="仿宋_GB2312" w:cs="仿宋_GB2312"/>
          <w:kern w:val="0"/>
          <w:sz w:val="32"/>
          <w:szCs w:val="32"/>
        </w:rPr>
        <w:t>推进。同时，根据</w:t>
      </w:r>
      <w:r>
        <w:rPr>
          <w:rFonts w:hint="eastAsia" w:eastAsia="仿宋_GB2312" w:cs="仿宋_GB2312"/>
          <w:kern w:val="0"/>
          <w:sz w:val="32"/>
          <w:szCs w:val="32"/>
        </w:rPr>
        <w:t>子课题（岗位）</w:t>
      </w:r>
      <w:r>
        <w:rPr>
          <w:rFonts w:eastAsia="仿宋_GB2312" w:cs="仿宋_GB2312"/>
          <w:kern w:val="0"/>
          <w:sz w:val="32"/>
          <w:szCs w:val="32"/>
        </w:rPr>
        <w:t>进展调整和优化实施方案，</w:t>
      </w:r>
      <w:r>
        <w:rPr>
          <w:rFonts w:hint="eastAsia" w:eastAsia="仿宋_GB2312" w:cs="仿宋_GB2312"/>
          <w:kern w:val="0"/>
          <w:sz w:val="32"/>
          <w:szCs w:val="32"/>
        </w:rPr>
        <w:t>管控</w:t>
      </w:r>
      <w:r>
        <w:rPr>
          <w:rFonts w:eastAsia="仿宋_GB2312" w:cs="仿宋_GB2312"/>
          <w:kern w:val="0"/>
          <w:sz w:val="32"/>
          <w:szCs w:val="32"/>
        </w:rPr>
        <w:t>项目风险，确保项目</w:t>
      </w:r>
      <w:r>
        <w:rPr>
          <w:rFonts w:hint="eastAsia" w:eastAsia="仿宋_GB2312" w:cs="仿宋_GB2312"/>
          <w:kern w:val="0"/>
          <w:sz w:val="32"/>
          <w:szCs w:val="32"/>
        </w:rPr>
        <w:t>合规运行，提供政策法规支持，及时应对突发问题或风险</w:t>
      </w:r>
      <w:r>
        <w:rPr>
          <w:rFonts w:eastAsia="仿宋_GB2312" w:cs="仿宋_GB2312"/>
          <w:kern w:val="0"/>
          <w:sz w:val="32"/>
          <w:szCs w:val="32"/>
        </w:rPr>
        <w:t>。</w:t>
      </w:r>
    </w:p>
    <w:p w14:paraId="283C4A75">
      <w:pPr>
        <w:spacing w:line="578" w:lineRule="exact"/>
        <w:ind w:firstLine="640"/>
        <w:rPr>
          <w:rFonts w:eastAsia="仿宋_GB2312" w:cs="仿宋_GB2312"/>
          <w:b/>
          <w:kern w:val="0"/>
          <w:sz w:val="32"/>
          <w:szCs w:val="32"/>
        </w:rPr>
      </w:pPr>
      <w:r>
        <w:rPr>
          <w:rFonts w:eastAsia="仿宋_GB2312" w:cs="仿宋_GB2312"/>
          <w:b/>
          <w:kern w:val="0"/>
          <w:sz w:val="32"/>
          <w:szCs w:val="32"/>
        </w:rPr>
        <w:t>2.项目立项、资金申报的依据。</w:t>
      </w:r>
    </w:p>
    <w:p w14:paraId="774EC708">
      <w:pPr>
        <w:spacing w:line="578" w:lineRule="exact"/>
        <w:ind w:firstLine="640"/>
        <w:rPr>
          <w:rFonts w:eastAsia="仿宋_GB2312" w:cs="仿宋_GB2312"/>
          <w:kern w:val="0"/>
          <w:sz w:val="32"/>
          <w:szCs w:val="32"/>
        </w:rPr>
      </w:pPr>
      <w:r>
        <w:rPr>
          <w:rFonts w:hint="eastAsia" w:eastAsia="仿宋_GB2312" w:cs="仿宋_GB2312"/>
          <w:kern w:val="0"/>
          <w:sz w:val="32"/>
          <w:szCs w:val="32"/>
        </w:rPr>
        <w:t>根据省农业厅、财政厅的相关要求，设立蔬菜新品种引育岗位、芒果新品种引育岗位、芒果栽培技术研究岗位、芒果病虫草害防控岗位、首席专家岗、芒果采后处理岗位、高效节水与废弃物循环利用研究岗位、食用菌研究岗位、芒果园粮油复合种植技术，共9个子课题（岗位），扎实开展新品种引育、关键技术研究、集成与示范推广、人才培养、生产应急等工作，执行时间为2024年至2028年，资金来源为省级财政资金。</w:t>
      </w:r>
    </w:p>
    <w:p w14:paraId="361801E0">
      <w:pPr>
        <w:spacing w:line="578" w:lineRule="exact"/>
        <w:ind w:firstLine="640"/>
        <w:rPr>
          <w:rFonts w:eastAsia="仿宋_GB2312" w:cs="仿宋_GB2312"/>
          <w:b/>
          <w:kern w:val="0"/>
          <w:sz w:val="32"/>
          <w:szCs w:val="32"/>
        </w:rPr>
      </w:pPr>
      <w:r>
        <w:rPr>
          <w:rFonts w:eastAsia="仿宋_GB2312" w:cs="仿宋_GB2312"/>
          <w:b/>
          <w:kern w:val="0"/>
          <w:sz w:val="32"/>
          <w:szCs w:val="32"/>
        </w:rPr>
        <w:t>3．资金管理办法制定情况，资金支持具体项目的条件、范围与支持方式概况。</w:t>
      </w:r>
    </w:p>
    <w:p w14:paraId="0E14F4EA">
      <w:pPr>
        <w:spacing w:line="578" w:lineRule="exact"/>
        <w:ind w:firstLine="640"/>
        <w:rPr>
          <w:rFonts w:eastAsia="仿宋_GB2312" w:cs="仿宋_GB2312"/>
          <w:kern w:val="0"/>
          <w:sz w:val="32"/>
          <w:szCs w:val="32"/>
        </w:rPr>
      </w:pPr>
      <w:r>
        <w:rPr>
          <w:rFonts w:hint="eastAsia" w:eastAsia="仿宋_GB2312" w:cs="仿宋_GB2312"/>
          <w:kern w:val="0"/>
          <w:sz w:val="32"/>
          <w:szCs w:val="32"/>
        </w:rPr>
        <w:t>本单位依照《中华人民共和国会计法》《中华人民共和国预算法》《中华人民共和国政府采购法》、财政部《事业单位财务规则》《国家现代农业产业技术体系四川创新团队建设专项资金管理办法》，结合攀枝花财政相关政策，根据项目</w:t>
      </w:r>
      <w:r>
        <w:rPr>
          <w:rFonts w:eastAsia="仿宋_GB2312" w:cs="仿宋_GB2312"/>
          <w:kern w:val="0"/>
          <w:sz w:val="32"/>
          <w:szCs w:val="32"/>
        </w:rPr>
        <w:t>资金使用范围、申请流程、审计监督、审批程序等</w:t>
      </w:r>
      <w:r>
        <w:rPr>
          <w:rFonts w:hint="eastAsia" w:eastAsia="仿宋_GB2312" w:cs="仿宋_GB2312"/>
          <w:kern w:val="0"/>
          <w:sz w:val="32"/>
          <w:szCs w:val="32"/>
        </w:rPr>
        <w:t>流程，制定了《攀枝花市农林科学研究院财务管理办法》（攀农林[2025]43号）和《攀枝花市农林科学研究院非政府采购类项目的采购管理办法（试行）》（攀农林[2025]38号）。</w:t>
      </w:r>
    </w:p>
    <w:p w14:paraId="1913B8C9">
      <w:pPr>
        <w:spacing w:line="578" w:lineRule="exact"/>
        <w:ind w:firstLine="640"/>
        <w:rPr>
          <w:rFonts w:eastAsia="仿宋_GB2312" w:cs="仿宋_GB2312"/>
          <w:b/>
          <w:kern w:val="0"/>
          <w:sz w:val="32"/>
          <w:szCs w:val="32"/>
        </w:rPr>
      </w:pPr>
      <w:r>
        <w:rPr>
          <w:rFonts w:eastAsia="仿宋_GB2312" w:cs="仿宋_GB2312"/>
          <w:b/>
          <w:kern w:val="0"/>
          <w:sz w:val="32"/>
          <w:szCs w:val="32"/>
        </w:rPr>
        <w:t>4.资金分配的原则及考虑因素。</w:t>
      </w:r>
    </w:p>
    <w:p w14:paraId="68828DE7">
      <w:pPr>
        <w:spacing w:line="578" w:lineRule="exact"/>
        <w:ind w:firstLine="640"/>
        <w:rPr>
          <w:rFonts w:eastAsia="仿宋_GB2312" w:cs="仿宋_GB2312"/>
          <w:kern w:val="0"/>
          <w:sz w:val="32"/>
          <w:szCs w:val="32"/>
        </w:rPr>
      </w:pPr>
      <w:r>
        <w:rPr>
          <w:rFonts w:eastAsia="仿宋_GB2312" w:cs="仿宋_GB2312"/>
          <w:kern w:val="0"/>
          <w:sz w:val="32"/>
          <w:szCs w:val="32"/>
        </w:rPr>
        <w:t>项目资金分配</w:t>
      </w:r>
      <w:r>
        <w:rPr>
          <w:rFonts w:hint="eastAsia" w:eastAsia="仿宋_GB2312" w:cs="仿宋_GB2312"/>
          <w:kern w:val="0"/>
          <w:sz w:val="32"/>
          <w:szCs w:val="32"/>
        </w:rPr>
        <w:t>过程</w:t>
      </w:r>
      <w:r>
        <w:rPr>
          <w:rFonts w:eastAsia="仿宋_GB2312" w:cs="仿宋_GB2312"/>
          <w:kern w:val="0"/>
          <w:sz w:val="32"/>
          <w:szCs w:val="32"/>
        </w:rPr>
        <w:t>中遵循公平、合理、透明和绩效导向原则，确保各子课题</w:t>
      </w:r>
      <w:r>
        <w:rPr>
          <w:rFonts w:hint="eastAsia" w:eastAsia="仿宋_GB2312" w:cs="仿宋_GB2312"/>
          <w:kern w:val="0"/>
          <w:sz w:val="32"/>
          <w:szCs w:val="32"/>
        </w:rPr>
        <w:t>（岗位）</w:t>
      </w:r>
      <w:r>
        <w:rPr>
          <w:rFonts w:eastAsia="仿宋_GB2312" w:cs="仿宋_GB2312"/>
          <w:kern w:val="0"/>
          <w:sz w:val="32"/>
          <w:szCs w:val="32"/>
        </w:rPr>
        <w:t>在满足基本条件的前提下，机会平等。资金分配依据子课题需求、可行性、预期效益及合理性，确保公开透明，接受社会监督，并注重项目成果和绩效，确保资金有效回报。</w:t>
      </w:r>
    </w:p>
    <w:p w14:paraId="4DB89E4C">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项目资金分配过程中充分考虑各子课题（岗位）</w:t>
      </w:r>
      <w:r>
        <w:rPr>
          <w:rFonts w:eastAsia="仿宋_GB2312" w:cs="仿宋_GB2312"/>
          <w:kern w:val="0"/>
          <w:sz w:val="32"/>
          <w:szCs w:val="32"/>
        </w:rPr>
        <w:t>的可行性和实施能力</w:t>
      </w:r>
      <w:r>
        <w:rPr>
          <w:rFonts w:hint="eastAsia" w:eastAsia="仿宋_GB2312" w:cs="仿宋_GB2312"/>
          <w:kern w:val="0"/>
          <w:sz w:val="32"/>
          <w:szCs w:val="32"/>
        </w:rPr>
        <w:t>、</w:t>
      </w:r>
      <w:r>
        <w:rPr>
          <w:rFonts w:eastAsia="仿宋_GB2312" w:cs="仿宋_GB2312"/>
          <w:kern w:val="0"/>
          <w:sz w:val="32"/>
          <w:szCs w:val="32"/>
        </w:rPr>
        <w:t>社会效益与经济效益</w:t>
      </w:r>
      <w:r>
        <w:rPr>
          <w:rFonts w:hint="eastAsia" w:eastAsia="仿宋_GB2312" w:cs="仿宋_GB2312"/>
          <w:kern w:val="0"/>
          <w:sz w:val="32"/>
          <w:szCs w:val="32"/>
        </w:rPr>
        <w:t>、</w:t>
      </w:r>
      <w:r>
        <w:rPr>
          <w:rFonts w:eastAsia="仿宋_GB2312" w:cs="仿宋_GB2312"/>
          <w:kern w:val="0"/>
          <w:sz w:val="32"/>
          <w:szCs w:val="32"/>
        </w:rPr>
        <w:t>创新性和技术前瞻性</w:t>
      </w:r>
      <w:r>
        <w:rPr>
          <w:rFonts w:hint="eastAsia" w:eastAsia="仿宋_GB2312" w:cs="仿宋_GB2312"/>
          <w:kern w:val="0"/>
          <w:sz w:val="32"/>
          <w:szCs w:val="32"/>
        </w:rPr>
        <w:t>、</w:t>
      </w:r>
      <w:r>
        <w:rPr>
          <w:rFonts w:eastAsia="仿宋_GB2312" w:cs="仿宋_GB2312"/>
          <w:kern w:val="0"/>
          <w:sz w:val="32"/>
          <w:szCs w:val="32"/>
        </w:rPr>
        <w:t>资金需求与预算合理性</w:t>
      </w:r>
      <w:r>
        <w:rPr>
          <w:rFonts w:hint="eastAsia" w:eastAsia="仿宋_GB2312" w:cs="仿宋_GB2312"/>
          <w:kern w:val="0"/>
          <w:sz w:val="32"/>
          <w:szCs w:val="32"/>
        </w:rPr>
        <w:t>、</w:t>
      </w:r>
      <w:r>
        <w:rPr>
          <w:rFonts w:eastAsia="仿宋_GB2312" w:cs="仿宋_GB2312"/>
          <w:kern w:val="0"/>
          <w:sz w:val="32"/>
          <w:szCs w:val="32"/>
        </w:rPr>
        <w:t>资金的使用效率和风险控制</w:t>
      </w:r>
      <w:r>
        <w:rPr>
          <w:rFonts w:hint="eastAsia" w:eastAsia="仿宋_GB2312" w:cs="仿宋_GB2312"/>
          <w:kern w:val="0"/>
          <w:sz w:val="32"/>
          <w:szCs w:val="32"/>
        </w:rPr>
        <w:t>。</w:t>
      </w:r>
    </w:p>
    <w:p w14:paraId="47C80C5F">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50262F4C">
      <w:pPr>
        <w:spacing w:line="578" w:lineRule="exact"/>
        <w:ind w:firstLine="640"/>
        <w:rPr>
          <w:rFonts w:eastAsia="仿宋_GB2312" w:cs="仿宋_GB2312"/>
          <w:b/>
          <w:kern w:val="0"/>
          <w:sz w:val="32"/>
          <w:szCs w:val="32"/>
        </w:rPr>
      </w:pPr>
      <w:r>
        <w:rPr>
          <w:rFonts w:eastAsia="仿宋_GB2312" w:cs="仿宋_GB2312"/>
          <w:b/>
          <w:kern w:val="0"/>
          <w:sz w:val="32"/>
          <w:szCs w:val="32"/>
        </w:rPr>
        <w:t>1.项目主要内容。</w:t>
      </w:r>
    </w:p>
    <w:p w14:paraId="73E27551">
      <w:pPr>
        <w:spacing w:line="578" w:lineRule="exact"/>
        <w:ind w:firstLine="640"/>
        <w:rPr>
          <w:rFonts w:eastAsia="仿宋_GB2312" w:cs="仿宋_GB2312"/>
          <w:kern w:val="0"/>
          <w:sz w:val="32"/>
          <w:szCs w:val="32"/>
        </w:rPr>
      </w:pPr>
      <w:r>
        <w:rPr>
          <w:rFonts w:hint="eastAsia" w:eastAsia="仿宋_GB2312" w:cs="仿宋_GB2312"/>
          <w:kern w:val="0"/>
          <w:sz w:val="32"/>
          <w:szCs w:val="32"/>
        </w:rPr>
        <w:t>根据省农业厅、财政厅的相关要求及各子课题（岗位）的目标任务书，结合当前南亚特色作物芒果、蔬菜、食用菌等产业在发展中存在的品种退化、种植技术陈旧、人工成本高、农资过度使用、土壤污染、水土流失、农业废弃物处理困难及农产品收益低等问题，持续开展新品种引进、新技术研发和成果示范推广、培训指导、人才培养、生产应急等工作，提升全省水果、蔬菜、食用菌的科技支撑水平，促进实现农业农村现代化和乡村振兴。</w:t>
      </w:r>
    </w:p>
    <w:p w14:paraId="6024DC6D">
      <w:pPr>
        <w:spacing w:line="578" w:lineRule="exact"/>
        <w:ind w:firstLine="640"/>
        <w:rPr>
          <w:rFonts w:eastAsia="仿宋_GB2312" w:cs="仿宋_GB2312"/>
          <w:b/>
          <w:kern w:val="0"/>
          <w:sz w:val="32"/>
          <w:szCs w:val="32"/>
        </w:rPr>
      </w:pPr>
      <w:r>
        <w:rPr>
          <w:rFonts w:eastAsia="仿宋_GB2312" w:cs="仿宋_GB2312"/>
          <w:b/>
          <w:kern w:val="0"/>
          <w:sz w:val="32"/>
          <w:szCs w:val="32"/>
        </w:rPr>
        <w:t>2.项目应实现的具体绩效目标，包括目标的量化、细化情况以及项目实施进度计划等。</w:t>
      </w:r>
    </w:p>
    <w:p w14:paraId="5BB01EBF">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目标主要通过引育新品种、关键技术研究、集成与示范推广、人才培养、生产应急创新技术的研发和实施来完成，本年度的项目绩效目标已全部完成，显著提升南亚特色作物领域的技术水平和生产效率，推动四川省南亚热带作物产业的发展。</w:t>
      </w:r>
    </w:p>
    <w:p w14:paraId="3659740C">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表1 项目年度绩效目标</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5538"/>
        <w:gridCol w:w="1822"/>
      </w:tblGrid>
      <w:tr w14:paraId="242F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36" w:type="dxa"/>
            <w:vAlign w:val="center"/>
          </w:tcPr>
          <w:p w14:paraId="385B2706">
            <w:pPr>
              <w:adjustRightInd w:val="0"/>
              <w:snapToGrid w:val="0"/>
              <w:spacing w:line="400" w:lineRule="exact"/>
              <w:jc w:val="center"/>
              <w:rPr>
                <w:lang w:val="zh-CN"/>
              </w:rPr>
            </w:pPr>
            <w:r>
              <w:rPr>
                <w:rFonts w:hint="eastAsia"/>
                <w:lang w:val="zh-CN"/>
              </w:rPr>
              <w:t>序号</w:t>
            </w:r>
          </w:p>
        </w:tc>
        <w:tc>
          <w:tcPr>
            <w:tcW w:w="5538" w:type="dxa"/>
            <w:vAlign w:val="center"/>
          </w:tcPr>
          <w:p w14:paraId="6510C0A1">
            <w:pPr>
              <w:adjustRightInd w:val="0"/>
              <w:snapToGrid w:val="0"/>
              <w:spacing w:line="400" w:lineRule="exact"/>
              <w:jc w:val="center"/>
              <w:rPr>
                <w:lang w:val="zh-CN"/>
              </w:rPr>
            </w:pPr>
            <w:r>
              <w:rPr>
                <w:rFonts w:hint="eastAsia"/>
                <w:lang w:val="zh-CN"/>
              </w:rPr>
              <w:t>指标名称</w:t>
            </w:r>
          </w:p>
        </w:tc>
        <w:tc>
          <w:tcPr>
            <w:tcW w:w="1822" w:type="dxa"/>
            <w:vAlign w:val="center"/>
          </w:tcPr>
          <w:p w14:paraId="7BAA1542">
            <w:pPr>
              <w:adjustRightInd w:val="0"/>
              <w:snapToGrid w:val="0"/>
              <w:spacing w:line="400" w:lineRule="exact"/>
              <w:jc w:val="center"/>
              <w:rPr>
                <w:lang w:val="zh-CN"/>
              </w:rPr>
            </w:pPr>
            <w:r>
              <w:rPr>
                <w:lang w:val="zh-CN"/>
              </w:rPr>
              <w:t>目标任务</w:t>
            </w:r>
          </w:p>
        </w:tc>
      </w:tr>
      <w:tr w14:paraId="61E2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36" w:type="dxa"/>
            <w:tcBorders>
              <w:top w:val="single" w:color="auto" w:sz="4" w:space="0"/>
              <w:left w:val="single" w:color="auto" w:sz="4" w:space="0"/>
              <w:right w:val="single" w:color="auto" w:sz="4" w:space="0"/>
            </w:tcBorders>
            <w:vAlign w:val="center"/>
          </w:tcPr>
          <w:p w14:paraId="08F4AE6D">
            <w:pPr>
              <w:adjustRightInd w:val="0"/>
              <w:snapToGrid w:val="0"/>
              <w:spacing w:line="400" w:lineRule="exact"/>
              <w:jc w:val="center"/>
              <w:rPr>
                <w:lang w:val="zh-CN"/>
              </w:rPr>
            </w:pPr>
            <w:r>
              <w:rPr>
                <w:rFonts w:hint="eastAsia"/>
                <w:lang w:val="zh-CN"/>
              </w:rPr>
              <w:t>1</w:t>
            </w:r>
          </w:p>
        </w:tc>
        <w:tc>
          <w:tcPr>
            <w:tcW w:w="5538" w:type="dxa"/>
            <w:tcBorders>
              <w:top w:val="single" w:color="auto" w:sz="4" w:space="0"/>
              <w:left w:val="single" w:color="auto" w:sz="4" w:space="0"/>
              <w:right w:val="single" w:color="auto" w:sz="4" w:space="0"/>
            </w:tcBorders>
            <w:vAlign w:val="center"/>
          </w:tcPr>
          <w:p w14:paraId="2A45D671">
            <w:pPr>
              <w:adjustRightInd w:val="0"/>
              <w:snapToGrid w:val="0"/>
              <w:spacing w:line="400" w:lineRule="exact"/>
              <w:jc w:val="left"/>
              <w:rPr>
                <w:lang w:val="zh-CN"/>
              </w:rPr>
            </w:pPr>
            <w:r>
              <w:rPr>
                <w:rFonts w:hint="eastAsia"/>
                <w:lang w:val="zh-CN"/>
              </w:rPr>
              <w:t>到示范县或示范基地指导</w:t>
            </w:r>
          </w:p>
        </w:tc>
        <w:tc>
          <w:tcPr>
            <w:tcW w:w="1822" w:type="dxa"/>
            <w:tcBorders>
              <w:top w:val="single" w:color="auto" w:sz="4" w:space="0"/>
              <w:left w:val="single" w:color="auto" w:sz="4" w:space="0"/>
              <w:right w:val="single" w:color="auto" w:sz="4" w:space="0"/>
            </w:tcBorders>
            <w:vAlign w:val="center"/>
          </w:tcPr>
          <w:p w14:paraId="07934D2E">
            <w:pPr>
              <w:adjustRightInd w:val="0"/>
              <w:snapToGrid w:val="0"/>
              <w:spacing w:line="400" w:lineRule="exact"/>
              <w:jc w:val="center"/>
              <w:rPr>
                <w:lang w:val="zh-CN"/>
              </w:rPr>
            </w:pPr>
            <w:r>
              <w:rPr>
                <w:rFonts w:hint="eastAsia"/>
                <w:lang w:val="zh-CN"/>
              </w:rPr>
              <w:t>70</w:t>
            </w:r>
          </w:p>
        </w:tc>
      </w:tr>
      <w:tr w14:paraId="18F0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1CF39BD5">
            <w:pPr>
              <w:adjustRightInd w:val="0"/>
              <w:snapToGrid w:val="0"/>
              <w:spacing w:line="400" w:lineRule="exact"/>
              <w:jc w:val="center"/>
              <w:rPr>
                <w:lang w:val="zh-CN"/>
              </w:rPr>
            </w:pPr>
            <w:r>
              <w:rPr>
                <w:rFonts w:hint="eastAsia"/>
                <w:lang w:val="zh-CN"/>
              </w:rPr>
              <w:t>2</w:t>
            </w:r>
          </w:p>
        </w:tc>
        <w:tc>
          <w:tcPr>
            <w:tcW w:w="5538" w:type="dxa"/>
            <w:tcBorders>
              <w:top w:val="single" w:color="auto" w:sz="4" w:space="0"/>
              <w:left w:val="single" w:color="auto" w:sz="4" w:space="0"/>
              <w:right w:val="single" w:color="auto" w:sz="4" w:space="0"/>
            </w:tcBorders>
            <w:vAlign w:val="center"/>
          </w:tcPr>
          <w:p w14:paraId="535ACB26">
            <w:pPr>
              <w:adjustRightInd w:val="0"/>
              <w:snapToGrid w:val="0"/>
              <w:spacing w:line="400" w:lineRule="exact"/>
              <w:jc w:val="left"/>
              <w:rPr>
                <w:lang w:val="zh-CN"/>
              </w:rPr>
            </w:pPr>
            <w:r>
              <w:rPr>
                <w:rFonts w:hint="eastAsia"/>
                <w:lang w:val="zh-CN"/>
              </w:rPr>
              <w:t>成功处置生产应急事件</w:t>
            </w:r>
          </w:p>
        </w:tc>
        <w:tc>
          <w:tcPr>
            <w:tcW w:w="1822" w:type="dxa"/>
            <w:tcBorders>
              <w:top w:val="single" w:color="auto" w:sz="4" w:space="0"/>
              <w:left w:val="single" w:color="auto" w:sz="4" w:space="0"/>
              <w:right w:val="single" w:color="auto" w:sz="4" w:space="0"/>
            </w:tcBorders>
            <w:vAlign w:val="center"/>
          </w:tcPr>
          <w:p w14:paraId="4FEB2C6B">
            <w:pPr>
              <w:adjustRightInd w:val="0"/>
              <w:snapToGrid w:val="0"/>
              <w:spacing w:line="400" w:lineRule="exact"/>
              <w:jc w:val="center"/>
              <w:rPr>
                <w:lang w:val="zh-CN"/>
              </w:rPr>
            </w:pPr>
            <w:r>
              <w:rPr>
                <w:lang w:val="zh-CN"/>
              </w:rPr>
              <w:t>1</w:t>
            </w:r>
          </w:p>
        </w:tc>
      </w:tr>
      <w:tr w14:paraId="5756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50823555">
            <w:pPr>
              <w:adjustRightInd w:val="0"/>
              <w:snapToGrid w:val="0"/>
              <w:spacing w:line="400" w:lineRule="exact"/>
              <w:jc w:val="center"/>
              <w:rPr>
                <w:lang w:val="zh-CN"/>
              </w:rPr>
            </w:pPr>
            <w:r>
              <w:rPr>
                <w:rFonts w:hint="eastAsia"/>
                <w:lang w:val="zh-CN"/>
              </w:rPr>
              <w:t>3</w:t>
            </w:r>
          </w:p>
        </w:tc>
        <w:tc>
          <w:tcPr>
            <w:tcW w:w="5538" w:type="dxa"/>
            <w:tcBorders>
              <w:top w:val="single" w:color="auto" w:sz="4" w:space="0"/>
              <w:left w:val="single" w:color="auto" w:sz="4" w:space="0"/>
              <w:right w:val="single" w:color="auto" w:sz="4" w:space="0"/>
            </w:tcBorders>
            <w:vAlign w:val="center"/>
          </w:tcPr>
          <w:p w14:paraId="4EDC3ACF">
            <w:pPr>
              <w:adjustRightInd w:val="0"/>
              <w:snapToGrid w:val="0"/>
              <w:spacing w:line="400" w:lineRule="exact"/>
              <w:jc w:val="left"/>
              <w:rPr>
                <w:lang w:val="zh-CN"/>
              </w:rPr>
            </w:pPr>
            <w:r>
              <w:rPr>
                <w:rFonts w:hint="eastAsia"/>
                <w:lang w:val="zh-CN"/>
              </w:rPr>
              <w:t>技术指导服务面积</w:t>
            </w:r>
          </w:p>
        </w:tc>
        <w:tc>
          <w:tcPr>
            <w:tcW w:w="1822" w:type="dxa"/>
            <w:tcBorders>
              <w:top w:val="single" w:color="auto" w:sz="4" w:space="0"/>
              <w:left w:val="single" w:color="auto" w:sz="4" w:space="0"/>
              <w:right w:val="single" w:color="auto" w:sz="4" w:space="0"/>
            </w:tcBorders>
            <w:vAlign w:val="center"/>
          </w:tcPr>
          <w:p w14:paraId="3C0215EF">
            <w:pPr>
              <w:adjustRightInd w:val="0"/>
              <w:snapToGrid w:val="0"/>
              <w:spacing w:line="400" w:lineRule="exact"/>
              <w:jc w:val="center"/>
              <w:rPr>
                <w:lang w:val="zh-CN"/>
              </w:rPr>
            </w:pPr>
            <w:r>
              <w:rPr>
                <w:rFonts w:hint="eastAsia"/>
                <w:lang w:val="zh-CN"/>
              </w:rPr>
              <w:t>20</w:t>
            </w:r>
          </w:p>
        </w:tc>
      </w:tr>
      <w:tr w14:paraId="736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2EE0BE79">
            <w:pPr>
              <w:adjustRightInd w:val="0"/>
              <w:snapToGrid w:val="0"/>
              <w:spacing w:line="400" w:lineRule="exact"/>
              <w:jc w:val="center"/>
              <w:rPr>
                <w:lang w:val="zh-CN"/>
              </w:rPr>
            </w:pPr>
            <w:r>
              <w:rPr>
                <w:rFonts w:hint="eastAsia"/>
                <w:lang w:val="zh-CN"/>
              </w:rPr>
              <w:t>4</w:t>
            </w:r>
          </w:p>
        </w:tc>
        <w:tc>
          <w:tcPr>
            <w:tcW w:w="5538" w:type="dxa"/>
            <w:tcBorders>
              <w:top w:val="single" w:color="auto" w:sz="4" w:space="0"/>
              <w:left w:val="single" w:color="auto" w:sz="4" w:space="0"/>
              <w:right w:val="single" w:color="auto" w:sz="4" w:space="0"/>
            </w:tcBorders>
            <w:vAlign w:val="center"/>
          </w:tcPr>
          <w:p w14:paraId="0CC6AEA7">
            <w:pPr>
              <w:adjustRightInd w:val="0"/>
              <w:snapToGrid w:val="0"/>
              <w:spacing w:line="400" w:lineRule="exact"/>
              <w:jc w:val="left"/>
              <w:rPr>
                <w:lang w:val="zh-CN"/>
              </w:rPr>
            </w:pPr>
            <w:r>
              <w:rPr>
                <w:rFonts w:hint="eastAsia"/>
                <w:lang w:val="zh-CN"/>
              </w:rPr>
              <w:t>在创新团队平台上报送信息</w:t>
            </w:r>
          </w:p>
        </w:tc>
        <w:tc>
          <w:tcPr>
            <w:tcW w:w="1822" w:type="dxa"/>
            <w:tcBorders>
              <w:top w:val="single" w:color="auto" w:sz="4" w:space="0"/>
              <w:left w:val="single" w:color="auto" w:sz="4" w:space="0"/>
              <w:right w:val="single" w:color="auto" w:sz="4" w:space="0"/>
            </w:tcBorders>
            <w:vAlign w:val="center"/>
          </w:tcPr>
          <w:p w14:paraId="588A4BE5">
            <w:pPr>
              <w:adjustRightInd w:val="0"/>
              <w:snapToGrid w:val="0"/>
              <w:spacing w:line="400" w:lineRule="exact"/>
              <w:jc w:val="center"/>
              <w:rPr>
                <w:lang w:val="zh-CN"/>
              </w:rPr>
            </w:pPr>
            <w:r>
              <w:rPr>
                <w:rFonts w:hint="eastAsia"/>
                <w:lang w:val="zh-CN"/>
              </w:rPr>
              <w:t>42</w:t>
            </w:r>
          </w:p>
        </w:tc>
      </w:tr>
      <w:tr w14:paraId="3B92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2C54250F">
            <w:pPr>
              <w:adjustRightInd w:val="0"/>
              <w:snapToGrid w:val="0"/>
              <w:spacing w:line="400" w:lineRule="exact"/>
              <w:jc w:val="center"/>
              <w:rPr>
                <w:lang w:val="zh-CN"/>
              </w:rPr>
            </w:pPr>
            <w:r>
              <w:rPr>
                <w:rFonts w:hint="eastAsia"/>
                <w:lang w:val="zh-CN"/>
              </w:rPr>
              <w:t>5</w:t>
            </w:r>
          </w:p>
        </w:tc>
        <w:tc>
          <w:tcPr>
            <w:tcW w:w="5538" w:type="dxa"/>
            <w:tcBorders>
              <w:top w:val="single" w:color="auto" w:sz="4" w:space="0"/>
              <w:left w:val="single" w:color="auto" w:sz="4" w:space="0"/>
              <w:right w:val="single" w:color="auto" w:sz="4" w:space="0"/>
            </w:tcBorders>
            <w:vAlign w:val="center"/>
          </w:tcPr>
          <w:p w14:paraId="40911518">
            <w:pPr>
              <w:adjustRightInd w:val="0"/>
              <w:snapToGrid w:val="0"/>
              <w:spacing w:line="400" w:lineRule="exact"/>
              <w:jc w:val="left"/>
              <w:rPr>
                <w:lang w:val="zh-CN"/>
              </w:rPr>
            </w:pPr>
            <w:r>
              <w:rPr>
                <w:rFonts w:hint="eastAsia"/>
                <w:lang w:val="zh-CN"/>
              </w:rPr>
              <w:t>培训指导人次</w:t>
            </w:r>
          </w:p>
        </w:tc>
        <w:tc>
          <w:tcPr>
            <w:tcW w:w="1822" w:type="dxa"/>
            <w:tcBorders>
              <w:top w:val="single" w:color="auto" w:sz="4" w:space="0"/>
              <w:left w:val="single" w:color="auto" w:sz="4" w:space="0"/>
              <w:right w:val="single" w:color="auto" w:sz="4" w:space="0"/>
            </w:tcBorders>
            <w:vAlign w:val="center"/>
          </w:tcPr>
          <w:p w14:paraId="7B1568E1">
            <w:pPr>
              <w:adjustRightInd w:val="0"/>
              <w:snapToGrid w:val="0"/>
              <w:spacing w:line="400" w:lineRule="exact"/>
              <w:jc w:val="center"/>
              <w:rPr>
                <w:lang w:val="zh-CN"/>
              </w:rPr>
            </w:pPr>
            <w:r>
              <w:rPr>
                <w:rFonts w:hint="eastAsia"/>
                <w:lang w:val="zh-CN"/>
              </w:rPr>
              <w:t>1700</w:t>
            </w:r>
          </w:p>
        </w:tc>
      </w:tr>
      <w:tr w14:paraId="70FD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686E4950">
            <w:pPr>
              <w:adjustRightInd w:val="0"/>
              <w:snapToGrid w:val="0"/>
              <w:spacing w:line="400" w:lineRule="exact"/>
              <w:jc w:val="center"/>
              <w:rPr>
                <w:lang w:val="zh-CN"/>
              </w:rPr>
            </w:pPr>
            <w:r>
              <w:rPr>
                <w:rFonts w:hint="eastAsia"/>
                <w:lang w:val="zh-CN"/>
              </w:rPr>
              <w:t>6</w:t>
            </w:r>
          </w:p>
        </w:tc>
        <w:tc>
          <w:tcPr>
            <w:tcW w:w="5538" w:type="dxa"/>
            <w:tcBorders>
              <w:top w:val="single" w:color="auto" w:sz="4" w:space="0"/>
              <w:left w:val="single" w:color="auto" w:sz="4" w:space="0"/>
              <w:right w:val="single" w:color="auto" w:sz="4" w:space="0"/>
            </w:tcBorders>
            <w:vAlign w:val="center"/>
          </w:tcPr>
          <w:p w14:paraId="55588E6E">
            <w:pPr>
              <w:adjustRightInd w:val="0"/>
              <w:snapToGrid w:val="0"/>
              <w:spacing w:line="400" w:lineRule="exact"/>
              <w:jc w:val="left"/>
              <w:rPr>
                <w:lang w:val="zh-CN"/>
              </w:rPr>
            </w:pPr>
            <w:r>
              <w:rPr>
                <w:rFonts w:hint="eastAsia"/>
                <w:lang w:val="zh-CN"/>
              </w:rPr>
              <w:t>发表论文、专利</w:t>
            </w:r>
          </w:p>
        </w:tc>
        <w:tc>
          <w:tcPr>
            <w:tcW w:w="1822" w:type="dxa"/>
            <w:tcBorders>
              <w:top w:val="single" w:color="auto" w:sz="4" w:space="0"/>
              <w:left w:val="single" w:color="auto" w:sz="4" w:space="0"/>
              <w:right w:val="single" w:color="auto" w:sz="4" w:space="0"/>
            </w:tcBorders>
            <w:vAlign w:val="center"/>
          </w:tcPr>
          <w:p w14:paraId="4F2ED9A4">
            <w:pPr>
              <w:adjustRightInd w:val="0"/>
              <w:snapToGrid w:val="0"/>
              <w:spacing w:line="400" w:lineRule="exact"/>
              <w:jc w:val="center"/>
              <w:rPr>
                <w:lang w:val="zh-CN"/>
              </w:rPr>
            </w:pPr>
            <w:r>
              <w:rPr>
                <w:rFonts w:hint="eastAsia"/>
                <w:lang w:val="zh-CN"/>
              </w:rPr>
              <w:t>6</w:t>
            </w:r>
          </w:p>
        </w:tc>
      </w:tr>
      <w:tr w14:paraId="4808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1A802FBB">
            <w:pPr>
              <w:adjustRightInd w:val="0"/>
              <w:snapToGrid w:val="0"/>
              <w:spacing w:line="400" w:lineRule="exact"/>
              <w:jc w:val="center"/>
              <w:rPr>
                <w:lang w:val="zh-CN"/>
              </w:rPr>
            </w:pPr>
            <w:r>
              <w:rPr>
                <w:rFonts w:hint="eastAsia"/>
                <w:lang w:val="zh-CN"/>
              </w:rPr>
              <w:t>7</w:t>
            </w:r>
          </w:p>
        </w:tc>
        <w:tc>
          <w:tcPr>
            <w:tcW w:w="5538" w:type="dxa"/>
            <w:tcBorders>
              <w:top w:val="single" w:color="auto" w:sz="4" w:space="0"/>
              <w:left w:val="single" w:color="auto" w:sz="4" w:space="0"/>
              <w:right w:val="single" w:color="auto" w:sz="4" w:space="0"/>
            </w:tcBorders>
            <w:vAlign w:val="center"/>
          </w:tcPr>
          <w:p w14:paraId="40217542">
            <w:pPr>
              <w:adjustRightInd w:val="0"/>
              <w:snapToGrid w:val="0"/>
              <w:spacing w:line="400" w:lineRule="exact"/>
              <w:jc w:val="left"/>
              <w:rPr>
                <w:lang w:val="zh-CN"/>
              </w:rPr>
            </w:pPr>
            <w:r>
              <w:rPr>
                <w:rFonts w:hint="eastAsia"/>
                <w:lang w:val="zh-CN"/>
              </w:rPr>
              <w:t>建立基地示范数</w:t>
            </w:r>
          </w:p>
        </w:tc>
        <w:tc>
          <w:tcPr>
            <w:tcW w:w="1822" w:type="dxa"/>
            <w:tcBorders>
              <w:top w:val="single" w:color="auto" w:sz="4" w:space="0"/>
              <w:left w:val="single" w:color="auto" w:sz="4" w:space="0"/>
              <w:right w:val="single" w:color="auto" w:sz="4" w:space="0"/>
            </w:tcBorders>
            <w:vAlign w:val="center"/>
          </w:tcPr>
          <w:p w14:paraId="0A37ED2A">
            <w:pPr>
              <w:adjustRightInd w:val="0"/>
              <w:snapToGrid w:val="0"/>
              <w:spacing w:line="400" w:lineRule="exact"/>
              <w:jc w:val="center"/>
              <w:rPr>
                <w:lang w:val="zh-CN"/>
              </w:rPr>
            </w:pPr>
            <w:r>
              <w:rPr>
                <w:rFonts w:hint="eastAsia"/>
                <w:lang w:val="zh-CN"/>
              </w:rPr>
              <w:t>4</w:t>
            </w:r>
          </w:p>
        </w:tc>
      </w:tr>
      <w:tr w14:paraId="7B86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75A003EE">
            <w:pPr>
              <w:adjustRightInd w:val="0"/>
              <w:snapToGrid w:val="0"/>
              <w:spacing w:line="400" w:lineRule="exact"/>
              <w:jc w:val="center"/>
              <w:rPr>
                <w:lang w:val="zh-CN"/>
              </w:rPr>
            </w:pPr>
            <w:r>
              <w:rPr>
                <w:rFonts w:hint="eastAsia"/>
                <w:lang w:val="zh-CN"/>
              </w:rPr>
              <w:t>8</w:t>
            </w:r>
          </w:p>
        </w:tc>
        <w:tc>
          <w:tcPr>
            <w:tcW w:w="5538" w:type="dxa"/>
            <w:tcBorders>
              <w:top w:val="single" w:color="auto" w:sz="4" w:space="0"/>
              <w:left w:val="single" w:color="auto" w:sz="4" w:space="0"/>
              <w:right w:val="single" w:color="auto" w:sz="4" w:space="0"/>
            </w:tcBorders>
            <w:vAlign w:val="center"/>
          </w:tcPr>
          <w:p w14:paraId="3528E884">
            <w:pPr>
              <w:adjustRightInd w:val="0"/>
              <w:snapToGrid w:val="0"/>
              <w:spacing w:line="400" w:lineRule="exact"/>
              <w:jc w:val="left"/>
              <w:rPr>
                <w:lang w:val="zh-CN"/>
              </w:rPr>
            </w:pPr>
            <w:r>
              <w:rPr>
                <w:rFonts w:hint="eastAsia"/>
                <w:lang w:val="zh-CN"/>
              </w:rPr>
              <w:t>引进新品种、新技术</w:t>
            </w:r>
          </w:p>
        </w:tc>
        <w:tc>
          <w:tcPr>
            <w:tcW w:w="1822" w:type="dxa"/>
            <w:tcBorders>
              <w:top w:val="single" w:color="auto" w:sz="4" w:space="0"/>
              <w:left w:val="single" w:color="auto" w:sz="4" w:space="0"/>
              <w:right w:val="single" w:color="auto" w:sz="4" w:space="0"/>
            </w:tcBorders>
            <w:vAlign w:val="center"/>
          </w:tcPr>
          <w:p w14:paraId="16A10B8F">
            <w:pPr>
              <w:adjustRightInd w:val="0"/>
              <w:snapToGrid w:val="0"/>
              <w:spacing w:line="400" w:lineRule="exact"/>
              <w:jc w:val="center"/>
              <w:rPr>
                <w:lang w:val="zh-CN"/>
              </w:rPr>
            </w:pPr>
            <w:r>
              <w:rPr>
                <w:rFonts w:hint="eastAsia"/>
                <w:lang w:val="zh-CN"/>
              </w:rPr>
              <w:t>13</w:t>
            </w:r>
          </w:p>
        </w:tc>
      </w:tr>
      <w:tr w14:paraId="0EDD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tcBorders>
              <w:top w:val="single" w:color="auto" w:sz="4" w:space="0"/>
              <w:left w:val="single" w:color="auto" w:sz="4" w:space="0"/>
              <w:right w:val="single" w:color="auto" w:sz="4" w:space="0"/>
            </w:tcBorders>
            <w:vAlign w:val="center"/>
          </w:tcPr>
          <w:p w14:paraId="22BC0431">
            <w:pPr>
              <w:adjustRightInd w:val="0"/>
              <w:snapToGrid w:val="0"/>
              <w:spacing w:line="400" w:lineRule="exact"/>
              <w:jc w:val="center"/>
              <w:rPr>
                <w:lang w:val="zh-CN"/>
              </w:rPr>
            </w:pPr>
            <w:r>
              <w:rPr>
                <w:lang w:val="zh-CN"/>
              </w:rPr>
              <w:t>9</w:t>
            </w:r>
          </w:p>
        </w:tc>
        <w:tc>
          <w:tcPr>
            <w:tcW w:w="5538" w:type="dxa"/>
            <w:tcBorders>
              <w:top w:val="single" w:color="auto" w:sz="4" w:space="0"/>
              <w:left w:val="single" w:color="auto" w:sz="4" w:space="0"/>
              <w:right w:val="single" w:color="auto" w:sz="4" w:space="0"/>
            </w:tcBorders>
            <w:vAlign w:val="center"/>
          </w:tcPr>
          <w:p w14:paraId="52A0409C">
            <w:pPr>
              <w:adjustRightInd w:val="0"/>
              <w:snapToGrid w:val="0"/>
              <w:spacing w:line="400" w:lineRule="exact"/>
              <w:jc w:val="left"/>
              <w:rPr>
                <w:lang w:val="zh-CN"/>
              </w:rPr>
            </w:pPr>
            <w:r>
              <w:rPr>
                <w:rFonts w:hint="eastAsia"/>
                <w:lang w:val="zh-CN"/>
              </w:rPr>
              <w:t>农户满意度</w:t>
            </w:r>
          </w:p>
        </w:tc>
        <w:tc>
          <w:tcPr>
            <w:tcW w:w="1822" w:type="dxa"/>
            <w:tcBorders>
              <w:top w:val="single" w:color="auto" w:sz="4" w:space="0"/>
              <w:left w:val="single" w:color="auto" w:sz="4" w:space="0"/>
              <w:right w:val="single" w:color="auto" w:sz="4" w:space="0"/>
            </w:tcBorders>
            <w:vAlign w:val="center"/>
          </w:tcPr>
          <w:p w14:paraId="4E66F9FE">
            <w:pPr>
              <w:adjustRightInd w:val="0"/>
              <w:snapToGrid w:val="0"/>
              <w:spacing w:line="400" w:lineRule="exact"/>
              <w:jc w:val="center"/>
              <w:rPr>
                <w:lang w:val="zh-CN"/>
              </w:rPr>
            </w:pPr>
            <w:r>
              <w:rPr>
                <w:rFonts w:hint="eastAsia"/>
                <w:lang w:val="zh-CN"/>
              </w:rPr>
              <w:t>95</w:t>
            </w:r>
          </w:p>
        </w:tc>
      </w:tr>
    </w:tbl>
    <w:p w14:paraId="2A425BC8">
      <w:pPr>
        <w:spacing w:line="578" w:lineRule="exact"/>
        <w:ind w:firstLine="640"/>
        <w:rPr>
          <w:rFonts w:eastAsia="仿宋_GB2312" w:cs="仿宋_GB2312"/>
          <w:b/>
          <w:kern w:val="0"/>
          <w:sz w:val="32"/>
          <w:szCs w:val="32"/>
        </w:rPr>
      </w:pPr>
      <w:r>
        <w:rPr>
          <w:rFonts w:eastAsia="仿宋_GB2312" w:cs="仿宋_GB2312"/>
          <w:b/>
          <w:kern w:val="0"/>
          <w:sz w:val="32"/>
          <w:szCs w:val="32"/>
        </w:rPr>
        <w:t>3.分析评价申报内容是否与实际相符，申报目标是否合理可行。</w:t>
      </w:r>
    </w:p>
    <w:p w14:paraId="56486380">
      <w:pPr>
        <w:spacing w:line="578" w:lineRule="exact"/>
        <w:ind w:firstLine="640"/>
        <w:rPr>
          <w:rFonts w:eastAsia="仿宋_GB2312" w:cs="仿宋_GB2312"/>
          <w:kern w:val="0"/>
          <w:sz w:val="32"/>
          <w:szCs w:val="32"/>
        </w:rPr>
      </w:pPr>
      <w:r>
        <w:rPr>
          <w:rFonts w:eastAsia="仿宋_GB2312" w:cs="仿宋_GB2312"/>
          <w:kern w:val="0"/>
          <w:sz w:val="32"/>
          <w:szCs w:val="32"/>
        </w:rPr>
        <w:t>各子课题</w:t>
      </w:r>
      <w:r>
        <w:rPr>
          <w:rFonts w:hint="eastAsia" w:eastAsia="仿宋_GB2312" w:cs="仿宋_GB2312"/>
          <w:kern w:val="0"/>
          <w:sz w:val="32"/>
          <w:szCs w:val="32"/>
        </w:rPr>
        <w:t>（岗位）申报内容</w:t>
      </w:r>
      <w:r>
        <w:rPr>
          <w:rFonts w:eastAsia="仿宋_GB2312" w:cs="仿宋_GB2312"/>
          <w:kern w:val="0"/>
          <w:sz w:val="32"/>
          <w:szCs w:val="32"/>
        </w:rPr>
        <w:t>目标明确、可量化，实施方案可行，符合</w:t>
      </w:r>
      <w:r>
        <w:rPr>
          <w:rFonts w:hint="eastAsia" w:eastAsia="仿宋_GB2312" w:cs="仿宋_GB2312"/>
          <w:kern w:val="0"/>
          <w:sz w:val="32"/>
          <w:szCs w:val="32"/>
        </w:rPr>
        <w:t>我省</w:t>
      </w:r>
      <w:r>
        <w:rPr>
          <w:rFonts w:eastAsia="仿宋_GB2312" w:cs="仿宋_GB2312"/>
          <w:kern w:val="0"/>
          <w:sz w:val="32"/>
          <w:szCs w:val="32"/>
        </w:rPr>
        <w:t>南亚</w:t>
      </w:r>
      <w:r>
        <w:rPr>
          <w:rFonts w:hint="eastAsia" w:eastAsia="仿宋_GB2312" w:cs="仿宋_GB2312"/>
          <w:kern w:val="0"/>
          <w:sz w:val="32"/>
          <w:szCs w:val="32"/>
        </w:rPr>
        <w:t>热带</w:t>
      </w:r>
      <w:r>
        <w:rPr>
          <w:rFonts w:eastAsia="仿宋_GB2312" w:cs="仿宋_GB2312"/>
          <w:kern w:val="0"/>
          <w:sz w:val="32"/>
          <w:szCs w:val="32"/>
        </w:rPr>
        <w:t>作物</w:t>
      </w:r>
      <w:r>
        <w:rPr>
          <w:rFonts w:hint="eastAsia" w:eastAsia="仿宋_GB2312" w:cs="仿宋_GB2312"/>
          <w:kern w:val="0"/>
          <w:sz w:val="32"/>
          <w:szCs w:val="32"/>
        </w:rPr>
        <w:t>技术目标</w:t>
      </w:r>
      <w:r>
        <w:rPr>
          <w:rFonts w:eastAsia="仿宋_GB2312" w:cs="仿宋_GB2312"/>
          <w:kern w:val="0"/>
          <w:sz w:val="32"/>
          <w:szCs w:val="32"/>
        </w:rPr>
        <w:t>，满足产业技术</w:t>
      </w:r>
      <w:r>
        <w:rPr>
          <w:rFonts w:hint="eastAsia" w:eastAsia="仿宋_GB2312" w:cs="仿宋_GB2312"/>
          <w:kern w:val="0"/>
          <w:sz w:val="32"/>
          <w:szCs w:val="32"/>
        </w:rPr>
        <w:t>需求</w:t>
      </w:r>
      <w:r>
        <w:rPr>
          <w:rFonts w:eastAsia="仿宋_GB2312" w:cs="仿宋_GB2312"/>
          <w:kern w:val="0"/>
          <w:sz w:val="32"/>
          <w:szCs w:val="32"/>
        </w:rPr>
        <w:t>。资金</w:t>
      </w:r>
      <w:r>
        <w:rPr>
          <w:rFonts w:hint="eastAsia" w:eastAsia="仿宋_GB2312" w:cs="仿宋_GB2312"/>
          <w:kern w:val="0"/>
          <w:sz w:val="32"/>
          <w:szCs w:val="32"/>
        </w:rPr>
        <w:t>需求预算</w:t>
      </w:r>
      <w:r>
        <w:rPr>
          <w:rFonts w:eastAsia="仿宋_GB2312" w:cs="仿宋_GB2312"/>
          <w:kern w:val="0"/>
          <w:sz w:val="32"/>
          <w:szCs w:val="32"/>
        </w:rPr>
        <w:t>合理，</w:t>
      </w:r>
      <w:r>
        <w:rPr>
          <w:rFonts w:hint="eastAsia" w:eastAsia="仿宋_GB2312" w:cs="仿宋_GB2312"/>
          <w:kern w:val="0"/>
          <w:sz w:val="32"/>
          <w:szCs w:val="32"/>
        </w:rPr>
        <w:t>能够在项目实施过程中得到有效使用</w:t>
      </w:r>
      <w:r>
        <w:rPr>
          <w:rFonts w:eastAsia="仿宋_GB2312" w:cs="仿宋_GB2312"/>
          <w:kern w:val="0"/>
          <w:sz w:val="32"/>
          <w:szCs w:val="32"/>
        </w:rPr>
        <w:t>，</w:t>
      </w:r>
      <w:r>
        <w:rPr>
          <w:rFonts w:hint="eastAsia" w:eastAsia="仿宋_GB2312" w:cs="仿宋_GB2312"/>
          <w:kern w:val="0"/>
          <w:sz w:val="32"/>
          <w:szCs w:val="32"/>
        </w:rPr>
        <w:t>子课题（岗位）研究</w:t>
      </w:r>
      <w:r>
        <w:rPr>
          <w:rFonts w:eastAsia="仿宋_GB2312" w:cs="仿宋_GB2312"/>
          <w:kern w:val="0"/>
          <w:sz w:val="32"/>
          <w:szCs w:val="32"/>
        </w:rPr>
        <w:t>团队具备</w:t>
      </w:r>
      <w:r>
        <w:rPr>
          <w:rFonts w:hint="eastAsia" w:eastAsia="仿宋_GB2312" w:cs="仿宋_GB2312"/>
          <w:kern w:val="0"/>
          <w:sz w:val="32"/>
          <w:szCs w:val="32"/>
        </w:rPr>
        <w:t>相应的科研技术</w:t>
      </w:r>
      <w:r>
        <w:rPr>
          <w:rFonts w:eastAsia="仿宋_GB2312" w:cs="仿宋_GB2312"/>
          <w:kern w:val="0"/>
          <w:sz w:val="32"/>
          <w:szCs w:val="32"/>
        </w:rPr>
        <w:t>和</w:t>
      </w:r>
      <w:r>
        <w:rPr>
          <w:rFonts w:hint="eastAsia" w:eastAsia="仿宋_GB2312" w:cs="仿宋_GB2312"/>
          <w:kern w:val="0"/>
          <w:sz w:val="32"/>
          <w:szCs w:val="32"/>
        </w:rPr>
        <w:t>学术能力</w:t>
      </w:r>
      <w:r>
        <w:rPr>
          <w:rFonts w:eastAsia="仿宋_GB2312" w:cs="仿宋_GB2312"/>
          <w:kern w:val="0"/>
          <w:sz w:val="32"/>
          <w:szCs w:val="32"/>
        </w:rPr>
        <w:t>，能够支撑项目</w:t>
      </w:r>
      <w:r>
        <w:rPr>
          <w:rFonts w:hint="eastAsia" w:eastAsia="仿宋_GB2312" w:cs="仿宋_GB2312"/>
          <w:kern w:val="0"/>
          <w:sz w:val="32"/>
          <w:szCs w:val="32"/>
        </w:rPr>
        <w:t>的</w:t>
      </w:r>
      <w:r>
        <w:rPr>
          <w:rFonts w:eastAsia="仿宋_GB2312" w:cs="仿宋_GB2312"/>
          <w:kern w:val="0"/>
          <w:sz w:val="32"/>
          <w:szCs w:val="32"/>
        </w:rPr>
        <w:t>顺利实施。</w:t>
      </w:r>
    </w:p>
    <w:p w14:paraId="2A49F4AD">
      <w:pPr>
        <w:spacing w:line="578" w:lineRule="exact"/>
        <w:ind w:firstLine="640"/>
        <w:rPr>
          <w:rFonts w:eastAsia="仿宋_GB2312" w:cs="仿宋_GB2312"/>
          <w:kern w:val="0"/>
          <w:sz w:val="32"/>
          <w:szCs w:val="32"/>
        </w:rPr>
      </w:pPr>
      <w:r>
        <w:rPr>
          <w:rFonts w:eastAsia="仿宋_GB2312" w:cs="仿宋_GB2312"/>
          <w:b/>
          <w:kern w:val="0"/>
          <w:sz w:val="32"/>
          <w:szCs w:val="32"/>
        </w:rPr>
        <w:t>（三）项目自评步骤及方法。</w:t>
      </w:r>
    </w:p>
    <w:p w14:paraId="05803F73">
      <w:pPr>
        <w:spacing w:line="578" w:lineRule="exact"/>
        <w:ind w:firstLine="640"/>
        <w:rPr>
          <w:rFonts w:eastAsia="仿宋_GB2312" w:cs="仿宋_GB2312"/>
          <w:kern w:val="0"/>
          <w:sz w:val="32"/>
          <w:szCs w:val="32"/>
        </w:rPr>
      </w:pPr>
      <w:r>
        <w:rPr>
          <w:rFonts w:hint="eastAsia" w:eastAsia="仿宋_GB2312" w:cs="仿宋_GB2312"/>
          <w:kern w:val="0"/>
          <w:sz w:val="32"/>
          <w:szCs w:val="32"/>
        </w:rPr>
        <w:t>通过成立项目绩效评估小组、制定评估指标（项目进度、成本、效益、目标任务完成情况），收集与分析各子课题（岗位）绩效评估指标，进行中期评估与修正，最后完成项目评估报告。</w:t>
      </w:r>
    </w:p>
    <w:p w14:paraId="1A860ED9">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365B2799">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197B8D5A">
      <w:pPr>
        <w:spacing w:line="578" w:lineRule="exact"/>
        <w:ind w:firstLine="640"/>
        <w:rPr>
          <w:rFonts w:eastAsia="仿宋_GB2312" w:cs="仿宋_GB2312"/>
          <w:kern w:val="0"/>
          <w:sz w:val="32"/>
          <w:szCs w:val="32"/>
        </w:rPr>
      </w:pPr>
      <w:r>
        <w:rPr>
          <w:rFonts w:eastAsia="仿宋_GB2312" w:cs="仿宋_GB2312"/>
          <w:kern w:val="0"/>
          <w:sz w:val="32"/>
          <w:szCs w:val="32"/>
        </w:rPr>
        <w:t>项目资金按申报如期批复</w:t>
      </w:r>
      <w:r>
        <w:rPr>
          <w:rFonts w:hint="eastAsia" w:eastAsia="仿宋_GB2312" w:cs="仿宋_GB2312"/>
          <w:kern w:val="0"/>
          <w:sz w:val="32"/>
          <w:szCs w:val="32"/>
        </w:rPr>
        <w:t>，本年度中项目资金未发生资金预算调整情况。</w:t>
      </w:r>
    </w:p>
    <w:p w14:paraId="03E2BB44">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47C68F09">
      <w:pPr>
        <w:spacing w:line="578" w:lineRule="exact"/>
        <w:ind w:firstLine="640"/>
        <w:rPr>
          <w:rFonts w:eastAsia="仿宋_GB2312" w:cs="仿宋_GB2312"/>
          <w:kern w:val="0"/>
          <w:sz w:val="32"/>
          <w:szCs w:val="32"/>
        </w:rPr>
      </w:pPr>
      <w:r>
        <w:rPr>
          <w:rFonts w:eastAsia="仿宋_GB2312" w:cs="仿宋_GB2312"/>
          <w:b/>
          <w:kern w:val="0"/>
          <w:sz w:val="32"/>
          <w:szCs w:val="32"/>
        </w:rPr>
        <w:t>1．资金计划</w:t>
      </w:r>
    </w:p>
    <w:p w14:paraId="202A64A0">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项目资金全部来源于由省级财政，无单位自筹、</w:t>
      </w:r>
      <w:r>
        <w:rPr>
          <w:rFonts w:eastAsia="仿宋_GB2312" w:cs="仿宋_GB2312"/>
          <w:kern w:val="0"/>
          <w:sz w:val="32"/>
          <w:szCs w:val="32"/>
        </w:rPr>
        <w:t>银行贷款</w:t>
      </w:r>
      <w:r>
        <w:rPr>
          <w:rFonts w:hint="eastAsia" w:eastAsia="仿宋_GB2312" w:cs="仿宋_GB2312"/>
          <w:kern w:val="0"/>
          <w:sz w:val="32"/>
          <w:szCs w:val="32"/>
        </w:rPr>
        <w:t>等渠道资金。</w:t>
      </w:r>
    </w:p>
    <w:p w14:paraId="74805725">
      <w:pPr>
        <w:spacing w:line="578" w:lineRule="exact"/>
        <w:ind w:firstLine="640"/>
        <w:rPr>
          <w:rFonts w:eastAsia="仿宋_GB2312" w:cs="仿宋_GB2312"/>
          <w:b/>
          <w:kern w:val="0"/>
          <w:sz w:val="32"/>
          <w:szCs w:val="32"/>
        </w:rPr>
      </w:pPr>
      <w:r>
        <w:rPr>
          <w:rFonts w:eastAsia="仿宋_GB2312" w:cs="仿宋_GB2312"/>
          <w:b/>
          <w:kern w:val="0"/>
          <w:sz w:val="32"/>
          <w:szCs w:val="32"/>
        </w:rPr>
        <w:t>2．资金到位</w:t>
      </w:r>
    </w:p>
    <w:p w14:paraId="387D85BD">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eastAsia="仿宋_GB2312" w:cs="仿宋_GB2312"/>
          <w:kern w:val="0"/>
          <w:sz w:val="32"/>
          <w:szCs w:val="32"/>
        </w:rPr>
        <w:t>025年</w:t>
      </w:r>
      <w:r>
        <w:rPr>
          <w:rFonts w:hint="eastAsia" w:eastAsia="仿宋_GB2312" w:cs="仿宋_GB2312"/>
          <w:kern w:val="0"/>
          <w:sz w:val="32"/>
          <w:szCs w:val="32"/>
        </w:rPr>
        <w:t>项目资金到位64.60万元。</w:t>
      </w:r>
    </w:p>
    <w:p w14:paraId="22B651B5">
      <w:pPr>
        <w:spacing w:line="578" w:lineRule="exact"/>
        <w:ind w:firstLine="640"/>
        <w:rPr>
          <w:rFonts w:eastAsia="仿宋_GB2312" w:cs="仿宋_GB2312"/>
          <w:b/>
          <w:kern w:val="0"/>
          <w:sz w:val="32"/>
          <w:szCs w:val="32"/>
        </w:rPr>
      </w:pPr>
      <w:r>
        <w:rPr>
          <w:rFonts w:eastAsia="仿宋_GB2312" w:cs="仿宋_GB2312"/>
          <w:b/>
          <w:kern w:val="0"/>
          <w:sz w:val="32"/>
          <w:szCs w:val="32"/>
        </w:rPr>
        <w:t>3．资金使用</w:t>
      </w:r>
    </w:p>
    <w:p w14:paraId="347D9190">
      <w:pPr>
        <w:spacing w:line="578" w:lineRule="exact"/>
        <w:ind w:firstLine="640"/>
        <w:rPr>
          <w:rFonts w:eastAsia="仿宋_GB2312" w:cs="仿宋_GB2312"/>
          <w:kern w:val="0"/>
          <w:sz w:val="32"/>
          <w:szCs w:val="32"/>
        </w:rPr>
      </w:pPr>
      <w:r>
        <w:rPr>
          <w:rFonts w:hint="eastAsia" w:eastAsia="仿宋_GB2312" w:cs="仿宋_GB2312"/>
          <w:kern w:val="0"/>
          <w:sz w:val="32"/>
          <w:szCs w:val="32"/>
        </w:rPr>
        <w:t>本项目在执行过程中，严格按照项目资金预算、《国家现代农业产业技术体系四川创新团队建设专项资金管理办法》要求进行开支，每一笔开支均实行三级监管（项目组—财务—分管副院长），物资采购严格按照攀枝花市农林院《攀枝花市农林科学研究院非政府采购类项目的采购管理办法（试行）》（攀农林[2025]38号）进行审批，询价比较，择优购买，全年无违规使用项目资金的情况发生。</w:t>
      </w:r>
    </w:p>
    <w:p w14:paraId="5D2BB9C3">
      <w:pPr>
        <w:spacing w:line="578" w:lineRule="exact"/>
        <w:ind w:firstLine="640"/>
        <w:jc w:val="center"/>
        <w:rPr>
          <w:rFonts w:eastAsia="仿宋_GB2312" w:cs="仿宋_GB2312"/>
          <w:b/>
          <w:kern w:val="0"/>
          <w:sz w:val="32"/>
          <w:szCs w:val="32"/>
        </w:rPr>
      </w:pPr>
      <w:r>
        <w:rPr>
          <w:rFonts w:hint="eastAsia" w:eastAsia="仿宋_GB2312" w:cs="仿宋_GB2312"/>
          <w:kern w:val="0"/>
          <w:sz w:val="32"/>
          <w:szCs w:val="32"/>
        </w:rPr>
        <w:t>表2 项目资金使用情况表</w:t>
      </w:r>
    </w:p>
    <w:tbl>
      <w:tblPr>
        <w:tblStyle w:val="18"/>
        <w:tblW w:w="8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37"/>
        <w:gridCol w:w="4203"/>
      </w:tblGrid>
      <w:tr w14:paraId="286A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4137" w:type="dxa"/>
            <w:shd w:val="clear" w:color="auto" w:fill="auto"/>
            <w:noWrap/>
            <w:vAlign w:val="center"/>
          </w:tcPr>
          <w:p w14:paraId="3592DEE8">
            <w:pPr>
              <w:spacing w:line="578" w:lineRule="exact"/>
              <w:ind w:firstLine="640"/>
              <w:rPr>
                <w:rFonts w:eastAsia="仿宋_GB2312" w:cs="仿宋_GB2312"/>
                <w:kern w:val="0"/>
                <w:sz w:val="32"/>
                <w:szCs w:val="32"/>
              </w:rPr>
            </w:pPr>
            <w:r>
              <w:rPr>
                <w:rFonts w:eastAsia="仿宋_GB2312" w:cs="仿宋_GB2312"/>
                <w:kern w:val="0"/>
                <w:sz w:val="32"/>
                <w:szCs w:val="32"/>
              </w:rPr>
              <w:t>科目</w:t>
            </w:r>
          </w:p>
        </w:tc>
        <w:tc>
          <w:tcPr>
            <w:tcW w:w="4203" w:type="dxa"/>
            <w:shd w:val="clear" w:color="auto" w:fill="auto"/>
            <w:noWrap/>
            <w:vAlign w:val="center"/>
          </w:tcPr>
          <w:p w14:paraId="49F4CB80">
            <w:pPr>
              <w:spacing w:line="578" w:lineRule="exact"/>
              <w:ind w:firstLine="640"/>
              <w:rPr>
                <w:rFonts w:eastAsia="仿宋_GB2312" w:cs="仿宋_GB2312"/>
                <w:kern w:val="0"/>
                <w:sz w:val="32"/>
                <w:szCs w:val="32"/>
              </w:rPr>
            </w:pPr>
            <w:r>
              <w:rPr>
                <w:rFonts w:hint="eastAsia" w:eastAsia="仿宋_GB2312" w:cs="仿宋_GB2312"/>
                <w:kern w:val="0"/>
                <w:sz w:val="32"/>
                <w:szCs w:val="32"/>
              </w:rPr>
              <w:t>金额（元）</w:t>
            </w:r>
          </w:p>
        </w:tc>
      </w:tr>
      <w:tr w14:paraId="5EDD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7FAC7BE1">
            <w:pPr>
              <w:spacing w:line="578" w:lineRule="exact"/>
              <w:ind w:firstLine="640"/>
              <w:rPr>
                <w:rFonts w:eastAsia="仿宋_GB2312" w:cs="仿宋_GB2312"/>
                <w:kern w:val="0"/>
                <w:sz w:val="32"/>
                <w:szCs w:val="32"/>
              </w:rPr>
            </w:pPr>
            <w:r>
              <w:rPr>
                <w:rFonts w:eastAsia="仿宋_GB2312" w:cs="仿宋_GB2312"/>
                <w:kern w:val="0"/>
                <w:sz w:val="32"/>
                <w:szCs w:val="32"/>
              </w:rPr>
              <w:t>印刷费</w:t>
            </w:r>
          </w:p>
        </w:tc>
        <w:tc>
          <w:tcPr>
            <w:tcW w:w="4203" w:type="dxa"/>
            <w:shd w:val="clear" w:color="auto" w:fill="auto"/>
            <w:noWrap/>
            <w:vAlign w:val="center"/>
          </w:tcPr>
          <w:p w14:paraId="6E94F0BB">
            <w:pPr>
              <w:spacing w:line="578" w:lineRule="exact"/>
              <w:ind w:firstLine="640"/>
              <w:rPr>
                <w:rFonts w:eastAsia="仿宋_GB2312" w:cs="仿宋_GB2312"/>
                <w:kern w:val="0"/>
                <w:sz w:val="32"/>
                <w:szCs w:val="32"/>
              </w:rPr>
            </w:pPr>
            <w:r>
              <w:rPr>
                <w:rFonts w:eastAsia="仿宋_GB2312" w:cs="仿宋_GB2312"/>
                <w:kern w:val="0"/>
                <w:sz w:val="32"/>
                <w:szCs w:val="32"/>
              </w:rPr>
              <w:t>16,782</w:t>
            </w:r>
          </w:p>
        </w:tc>
      </w:tr>
      <w:tr w14:paraId="3BA8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450BBC9D">
            <w:pPr>
              <w:spacing w:line="578" w:lineRule="exact"/>
              <w:ind w:firstLine="640"/>
              <w:rPr>
                <w:rFonts w:eastAsia="仿宋_GB2312" w:cs="仿宋_GB2312"/>
                <w:kern w:val="0"/>
                <w:sz w:val="32"/>
                <w:szCs w:val="32"/>
              </w:rPr>
            </w:pPr>
            <w:r>
              <w:rPr>
                <w:rFonts w:eastAsia="仿宋_GB2312" w:cs="仿宋_GB2312"/>
                <w:kern w:val="0"/>
                <w:sz w:val="32"/>
                <w:szCs w:val="32"/>
              </w:rPr>
              <w:t>差旅费</w:t>
            </w:r>
          </w:p>
        </w:tc>
        <w:tc>
          <w:tcPr>
            <w:tcW w:w="4203" w:type="dxa"/>
            <w:shd w:val="clear" w:color="auto" w:fill="auto"/>
            <w:noWrap/>
            <w:vAlign w:val="center"/>
          </w:tcPr>
          <w:p w14:paraId="2898A889">
            <w:pPr>
              <w:spacing w:line="578" w:lineRule="exact"/>
              <w:ind w:firstLine="640"/>
              <w:rPr>
                <w:rFonts w:eastAsia="仿宋_GB2312" w:cs="仿宋_GB2312"/>
                <w:kern w:val="0"/>
                <w:sz w:val="32"/>
                <w:szCs w:val="32"/>
              </w:rPr>
            </w:pPr>
            <w:r>
              <w:rPr>
                <w:rFonts w:eastAsia="仿宋_GB2312" w:cs="仿宋_GB2312"/>
                <w:kern w:val="0"/>
                <w:sz w:val="32"/>
                <w:szCs w:val="32"/>
              </w:rPr>
              <w:t>90,456.56</w:t>
            </w:r>
          </w:p>
        </w:tc>
      </w:tr>
      <w:tr w14:paraId="1404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6625A5E2">
            <w:pPr>
              <w:spacing w:line="578" w:lineRule="exact"/>
              <w:ind w:firstLine="640"/>
              <w:rPr>
                <w:rFonts w:eastAsia="仿宋_GB2312" w:cs="仿宋_GB2312"/>
                <w:kern w:val="0"/>
                <w:sz w:val="32"/>
                <w:szCs w:val="32"/>
              </w:rPr>
            </w:pPr>
            <w:r>
              <w:rPr>
                <w:rFonts w:eastAsia="仿宋_GB2312" w:cs="仿宋_GB2312"/>
                <w:kern w:val="0"/>
                <w:sz w:val="32"/>
                <w:szCs w:val="32"/>
              </w:rPr>
              <w:t>租赁费</w:t>
            </w:r>
          </w:p>
        </w:tc>
        <w:tc>
          <w:tcPr>
            <w:tcW w:w="4203" w:type="dxa"/>
            <w:shd w:val="clear" w:color="auto" w:fill="auto"/>
            <w:noWrap/>
            <w:vAlign w:val="center"/>
          </w:tcPr>
          <w:p w14:paraId="0531D389">
            <w:pPr>
              <w:spacing w:line="578" w:lineRule="exact"/>
              <w:ind w:firstLine="640"/>
              <w:rPr>
                <w:rFonts w:eastAsia="仿宋_GB2312" w:cs="仿宋_GB2312"/>
                <w:kern w:val="0"/>
                <w:sz w:val="32"/>
                <w:szCs w:val="32"/>
              </w:rPr>
            </w:pPr>
            <w:r>
              <w:rPr>
                <w:rFonts w:eastAsia="仿宋_GB2312" w:cs="仿宋_GB2312"/>
                <w:kern w:val="0"/>
                <w:sz w:val="32"/>
                <w:szCs w:val="32"/>
              </w:rPr>
              <w:t>4,465</w:t>
            </w:r>
          </w:p>
        </w:tc>
      </w:tr>
      <w:tr w14:paraId="3815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00C623BE">
            <w:pPr>
              <w:spacing w:line="578" w:lineRule="exact"/>
              <w:ind w:firstLine="640"/>
              <w:rPr>
                <w:rFonts w:eastAsia="仿宋_GB2312" w:cs="仿宋_GB2312"/>
                <w:kern w:val="0"/>
                <w:sz w:val="32"/>
                <w:szCs w:val="32"/>
              </w:rPr>
            </w:pPr>
            <w:r>
              <w:rPr>
                <w:rFonts w:eastAsia="仿宋_GB2312" w:cs="仿宋_GB2312"/>
                <w:kern w:val="0"/>
                <w:sz w:val="32"/>
                <w:szCs w:val="32"/>
              </w:rPr>
              <w:t>会议费</w:t>
            </w:r>
          </w:p>
        </w:tc>
        <w:tc>
          <w:tcPr>
            <w:tcW w:w="4203" w:type="dxa"/>
            <w:shd w:val="clear" w:color="auto" w:fill="auto"/>
            <w:noWrap/>
            <w:vAlign w:val="center"/>
          </w:tcPr>
          <w:p w14:paraId="06A52666">
            <w:pPr>
              <w:spacing w:line="578" w:lineRule="exact"/>
              <w:ind w:firstLine="640"/>
              <w:rPr>
                <w:rFonts w:eastAsia="仿宋_GB2312" w:cs="仿宋_GB2312"/>
                <w:kern w:val="0"/>
                <w:sz w:val="32"/>
                <w:szCs w:val="32"/>
              </w:rPr>
            </w:pPr>
            <w:r>
              <w:rPr>
                <w:rFonts w:eastAsia="仿宋_GB2312" w:cs="仿宋_GB2312"/>
                <w:kern w:val="0"/>
                <w:sz w:val="32"/>
                <w:szCs w:val="32"/>
              </w:rPr>
              <w:t>11,948.99</w:t>
            </w:r>
          </w:p>
        </w:tc>
      </w:tr>
      <w:tr w14:paraId="0D74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0F27646C">
            <w:pPr>
              <w:spacing w:line="578" w:lineRule="exact"/>
              <w:ind w:firstLine="640"/>
              <w:rPr>
                <w:rFonts w:eastAsia="仿宋_GB2312" w:cs="仿宋_GB2312"/>
                <w:kern w:val="0"/>
                <w:sz w:val="32"/>
                <w:szCs w:val="32"/>
              </w:rPr>
            </w:pPr>
            <w:r>
              <w:rPr>
                <w:rFonts w:eastAsia="仿宋_GB2312" w:cs="仿宋_GB2312"/>
                <w:kern w:val="0"/>
                <w:sz w:val="32"/>
                <w:szCs w:val="32"/>
              </w:rPr>
              <w:t>培训费</w:t>
            </w:r>
          </w:p>
        </w:tc>
        <w:tc>
          <w:tcPr>
            <w:tcW w:w="4203" w:type="dxa"/>
            <w:shd w:val="clear" w:color="auto" w:fill="auto"/>
            <w:noWrap/>
            <w:vAlign w:val="center"/>
          </w:tcPr>
          <w:p w14:paraId="41EC084F">
            <w:pPr>
              <w:spacing w:line="578" w:lineRule="exact"/>
              <w:ind w:firstLine="640"/>
              <w:rPr>
                <w:rFonts w:eastAsia="仿宋_GB2312" w:cs="仿宋_GB2312"/>
                <w:kern w:val="0"/>
                <w:sz w:val="32"/>
                <w:szCs w:val="32"/>
              </w:rPr>
            </w:pPr>
            <w:r>
              <w:rPr>
                <w:rFonts w:eastAsia="仿宋_GB2312" w:cs="仿宋_GB2312"/>
                <w:kern w:val="0"/>
                <w:sz w:val="32"/>
                <w:szCs w:val="32"/>
              </w:rPr>
              <w:t>1,200</w:t>
            </w:r>
          </w:p>
        </w:tc>
      </w:tr>
      <w:tr w14:paraId="08EF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27FB5318">
            <w:pPr>
              <w:spacing w:line="578" w:lineRule="exact"/>
              <w:ind w:firstLine="640"/>
              <w:rPr>
                <w:rFonts w:eastAsia="仿宋_GB2312" w:cs="仿宋_GB2312"/>
                <w:kern w:val="0"/>
                <w:sz w:val="32"/>
                <w:szCs w:val="32"/>
              </w:rPr>
            </w:pPr>
            <w:r>
              <w:rPr>
                <w:rFonts w:eastAsia="仿宋_GB2312" w:cs="仿宋_GB2312"/>
                <w:kern w:val="0"/>
                <w:sz w:val="32"/>
                <w:szCs w:val="32"/>
              </w:rPr>
              <w:t>专用材料费</w:t>
            </w:r>
          </w:p>
        </w:tc>
        <w:tc>
          <w:tcPr>
            <w:tcW w:w="4203" w:type="dxa"/>
            <w:shd w:val="clear" w:color="auto" w:fill="auto"/>
            <w:noWrap/>
            <w:vAlign w:val="center"/>
          </w:tcPr>
          <w:p w14:paraId="60D84045">
            <w:pPr>
              <w:spacing w:line="578" w:lineRule="exact"/>
              <w:ind w:firstLine="640"/>
              <w:rPr>
                <w:rFonts w:eastAsia="仿宋_GB2312" w:cs="仿宋_GB2312"/>
                <w:kern w:val="0"/>
                <w:sz w:val="32"/>
                <w:szCs w:val="32"/>
              </w:rPr>
            </w:pPr>
            <w:r>
              <w:rPr>
                <w:rFonts w:eastAsia="仿宋_GB2312" w:cs="仿宋_GB2312"/>
                <w:kern w:val="0"/>
                <w:sz w:val="32"/>
                <w:szCs w:val="32"/>
              </w:rPr>
              <w:t>139,294.13</w:t>
            </w:r>
          </w:p>
        </w:tc>
      </w:tr>
      <w:tr w14:paraId="787D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7B548577">
            <w:pPr>
              <w:spacing w:line="578" w:lineRule="exact"/>
              <w:ind w:firstLine="640"/>
              <w:rPr>
                <w:rFonts w:eastAsia="仿宋_GB2312" w:cs="仿宋_GB2312"/>
                <w:kern w:val="0"/>
                <w:sz w:val="32"/>
                <w:szCs w:val="32"/>
              </w:rPr>
            </w:pPr>
            <w:r>
              <w:rPr>
                <w:rFonts w:eastAsia="仿宋_GB2312" w:cs="仿宋_GB2312"/>
                <w:kern w:val="0"/>
                <w:sz w:val="32"/>
                <w:szCs w:val="32"/>
              </w:rPr>
              <w:t>劳务费</w:t>
            </w:r>
          </w:p>
        </w:tc>
        <w:tc>
          <w:tcPr>
            <w:tcW w:w="4203" w:type="dxa"/>
            <w:shd w:val="clear" w:color="auto" w:fill="auto"/>
            <w:noWrap/>
            <w:vAlign w:val="center"/>
          </w:tcPr>
          <w:p w14:paraId="1DE10C19">
            <w:pPr>
              <w:spacing w:line="578" w:lineRule="exact"/>
              <w:ind w:firstLine="640"/>
              <w:rPr>
                <w:rFonts w:eastAsia="仿宋_GB2312" w:cs="仿宋_GB2312"/>
                <w:kern w:val="0"/>
                <w:sz w:val="32"/>
                <w:szCs w:val="32"/>
              </w:rPr>
            </w:pPr>
            <w:r>
              <w:rPr>
                <w:rFonts w:eastAsia="仿宋_GB2312" w:cs="仿宋_GB2312"/>
                <w:kern w:val="0"/>
                <w:sz w:val="32"/>
                <w:szCs w:val="32"/>
              </w:rPr>
              <w:t>321,629.55</w:t>
            </w:r>
          </w:p>
        </w:tc>
      </w:tr>
      <w:tr w14:paraId="627F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17F82D59">
            <w:pPr>
              <w:spacing w:line="578" w:lineRule="exact"/>
              <w:ind w:firstLine="640"/>
              <w:rPr>
                <w:rFonts w:eastAsia="仿宋_GB2312" w:cs="仿宋_GB2312"/>
                <w:kern w:val="0"/>
                <w:sz w:val="32"/>
                <w:szCs w:val="32"/>
              </w:rPr>
            </w:pPr>
            <w:r>
              <w:rPr>
                <w:rFonts w:eastAsia="仿宋_GB2312" w:cs="仿宋_GB2312"/>
                <w:kern w:val="0"/>
                <w:sz w:val="32"/>
                <w:szCs w:val="32"/>
              </w:rPr>
              <w:t>委托业务费</w:t>
            </w:r>
          </w:p>
        </w:tc>
        <w:tc>
          <w:tcPr>
            <w:tcW w:w="4203" w:type="dxa"/>
            <w:shd w:val="clear" w:color="auto" w:fill="auto"/>
            <w:noWrap/>
            <w:vAlign w:val="center"/>
          </w:tcPr>
          <w:p w14:paraId="1D066326">
            <w:pPr>
              <w:spacing w:line="578" w:lineRule="exact"/>
              <w:ind w:firstLine="640"/>
              <w:rPr>
                <w:rFonts w:eastAsia="仿宋_GB2312" w:cs="仿宋_GB2312"/>
                <w:kern w:val="0"/>
                <w:sz w:val="32"/>
                <w:szCs w:val="32"/>
              </w:rPr>
            </w:pPr>
            <w:r>
              <w:rPr>
                <w:rFonts w:eastAsia="仿宋_GB2312" w:cs="仿宋_GB2312"/>
                <w:kern w:val="0"/>
                <w:sz w:val="32"/>
                <w:szCs w:val="32"/>
              </w:rPr>
              <w:t>13,425</w:t>
            </w:r>
          </w:p>
        </w:tc>
      </w:tr>
      <w:tr w14:paraId="0C77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30766983">
            <w:pPr>
              <w:spacing w:line="578" w:lineRule="exact"/>
              <w:ind w:firstLine="640"/>
              <w:rPr>
                <w:rFonts w:eastAsia="仿宋_GB2312" w:cs="仿宋_GB2312"/>
                <w:kern w:val="0"/>
                <w:sz w:val="32"/>
                <w:szCs w:val="32"/>
              </w:rPr>
            </w:pPr>
            <w:r>
              <w:rPr>
                <w:rFonts w:eastAsia="仿宋_GB2312" w:cs="仿宋_GB2312"/>
                <w:kern w:val="0"/>
                <w:sz w:val="32"/>
                <w:szCs w:val="32"/>
              </w:rPr>
              <w:t>其他交通费用</w:t>
            </w:r>
          </w:p>
        </w:tc>
        <w:tc>
          <w:tcPr>
            <w:tcW w:w="4203" w:type="dxa"/>
            <w:shd w:val="clear" w:color="auto" w:fill="auto"/>
            <w:noWrap/>
            <w:vAlign w:val="center"/>
          </w:tcPr>
          <w:p w14:paraId="52C9AA64">
            <w:pPr>
              <w:spacing w:line="578" w:lineRule="exact"/>
              <w:ind w:firstLine="640"/>
              <w:rPr>
                <w:rFonts w:eastAsia="仿宋_GB2312" w:cs="仿宋_GB2312"/>
                <w:kern w:val="0"/>
                <w:sz w:val="32"/>
                <w:szCs w:val="32"/>
              </w:rPr>
            </w:pPr>
            <w:r>
              <w:rPr>
                <w:rFonts w:eastAsia="仿宋_GB2312" w:cs="仿宋_GB2312"/>
                <w:kern w:val="0"/>
                <w:sz w:val="32"/>
                <w:szCs w:val="32"/>
              </w:rPr>
              <w:t>1,400</w:t>
            </w:r>
          </w:p>
        </w:tc>
      </w:tr>
      <w:tr w14:paraId="5F61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421DBFBD">
            <w:pPr>
              <w:spacing w:line="578" w:lineRule="exact"/>
              <w:ind w:firstLine="640"/>
              <w:rPr>
                <w:rFonts w:eastAsia="仿宋_GB2312" w:cs="仿宋_GB2312"/>
                <w:kern w:val="0"/>
                <w:sz w:val="32"/>
                <w:szCs w:val="32"/>
              </w:rPr>
            </w:pPr>
            <w:r>
              <w:rPr>
                <w:rFonts w:eastAsia="仿宋_GB2312" w:cs="仿宋_GB2312"/>
                <w:kern w:val="0"/>
                <w:sz w:val="32"/>
                <w:szCs w:val="32"/>
              </w:rPr>
              <w:t>其他商品和服务支出</w:t>
            </w:r>
          </w:p>
        </w:tc>
        <w:tc>
          <w:tcPr>
            <w:tcW w:w="4203" w:type="dxa"/>
            <w:shd w:val="clear" w:color="auto" w:fill="auto"/>
            <w:noWrap/>
            <w:vAlign w:val="center"/>
          </w:tcPr>
          <w:p w14:paraId="270DE212">
            <w:pPr>
              <w:spacing w:line="578" w:lineRule="exact"/>
              <w:ind w:firstLine="640"/>
              <w:rPr>
                <w:rFonts w:eastAsia="仿宋_GB2312" w:cs="仿宋_GB2312"/>
                <w:kern w:val="0"/>
                <w:sz w:val="32"/>
                <w:szCs w:val="32"/>
              </w:rPr>
            </w:pPr>
            <w:r>
              <w:rPr>
                <w:rFonts w:eastAsia="仿宋_GB2312" w:cs="仿宋_GB2312"/>
                <w:kern w:val="0"/>
                <w:sz w:val="32"/>
                <w:szCs w:val="32"/>
              </w:rPr>
              <w:t>15,728</w:t>
            </w:r>
          </w:p>
        </w:tc>
      </w:tr>
      <w:tr w14:paraId="205B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7E41B609">
            <w:pPr>
              <w:spacing w:line="578" w:lineRule="exact"/>
              <w:ind w:firstLine="640"/>
              <w:rPr>
                <w:rFonts w:eastAsia="仿宋_GB2312" w:cs="仿宋_GB2312"/>
                <w:kern w:val="0"/>
                <w:sz w:val="32"/>
                <w:szCs w:val="32"/>
              </w:rPr>
            </w:pPr>
            <w:r>
              <w:rPr>
                <w:rFonts w:eastAsia="仿宋_GB2312" w:cs="仿宋_GB2312"/>
                <w:kern w:val="0"/>
                <w:sz w:val="32"/>
                <w:szCs w:val="32"/>
              </w:rPr>
              <w:t>专用设备购置</w:t>
            </w:r>
          </w:p>
        </w:tc>
        <w:tc>
          <w:tcPr>
            <w:tcW w:w="4203" w:type="dxa"/>
            <w:shd w:val="clear" w:color="auto" w:fill="auto"/>
            <w:noWrap/>
            <w:vAlign w:val="center"/>
          </w:tcPr>
          <w:p w14:paraId="39AAC551">
            <w:pPr>
              <w:spacing w:line="578" w:lineRule="exact"/>
              <w:ind w:firstLine="640"/>
              <w:rPr>
                <w:rFonts w:eastAsia="仿宋_GB2312" w:cs="仿宋_GB2312"/>
                <w:kern w:val="0"/>
                <w:sz w:val="32"/>
                <w:szCs w:val="32"/>
              </w:rPr>
            </w:pPr>
            <w:r>
              <w:rPr>
                <w:rFonts w:eastAsia="仿宋_GB2312" w:cs="仿宋_GB2312"/>
                <w:kern w:val="0"/>
                <w:sz w:val="32"/>
                <w:szCs w:val="32"/>
              </w:rPr>
              <w:t>18,857.05</w:t>
            </w:r>
          </w:p>
        </w:tc>
      </w:tr>
      <w:tr w14:paraId="10C9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137" w:type="dxa"/>
            <w:shd w:val="clear" w:color="auto" w:fill="auto"/>
            <w:noWrap/>
            <w:vAlign w:val="center"/>
          </w:tcPr>
          <w:p w14:paraId="0C02C195">
            <w:pPr>
              <w:spacing w:line="578" w:lineRule="exact"/>
              <w:ind w:firstLine="640"/>
              <w:rPr>
                <w:rFonts w:eastAsia="仿宋_GB2312" w:cs="仿宋_GB2312"/>
                <w:kern w:val="0"/>
                <w:sz w:val="32"/>
                <w:szCs w:val="32"/>
              </w:rPr>
            </w:pPr>
            <w:r>
              <w:rPr>
                <w:rFonts w:eastAsia="仿宋_GB2312" w:cs="仿宋_GB2312"/>
                <w:kern w:val="0"/>
                <w:sz w:val="32"/>
                <w:szCs w:val="32"/>
              </w:rPr>
              <w:t>总计</w:t>
            </w:r>
          </w:p>
        </w:tc>
        <w:tc>
          <w:tcPr>
            <w:tcW w:w="4203" w:type="dxa"/>
            <w:shd w:val="clear" w:color="auto" w:fill="auto"/>
            <w:noWrap/>
            <w:vAlign w:val="center"/>
          </w:tcPr>
          <w:p w14:paraId="53EE277F">
            <w:pPr>
              <w:spacing w:line="578" w:lineRule="exact"/>
              <w:ind w:firstLine="640"/>
              <w:rPr>
                <w:rFonts w:eastAsia="仿宋_GB2312" w:cs="仿宋_GB2312"/>
                <w:kern w:val="0"/>
                <w:sz w:val="32"/>
                <w:szCs w:val="32"/>
              </w:rPr>
            </w:pPr>
            <w:r>
              <w:rPr>
                <w:rFonts w:eastAsia="仿宋_GB2312" w:cs="仿宋_GB2312"/>
                <w:kern w:val="0"/>
                <w:sz w:val="32"/>
                <w:szCs w:val="32"/>
              </w:rPr>
              <w:t>635,186.28</w:t>
            </w:r>
          </w:p>
        </w:tc>
      </w:tr>
    </w:tbl>
    <w:p w14:paraId="4537669C">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1AA317BF">
      <w:pPr>
        <w:spacing w:line="578" w:lineRule="exact"/>
        <w:ind w:firstLine="640"/>
        <w:rPr>
          <w:rFonts w:eastAsia="仿宋_GB2312" w:cs="仿宋_GB2312"/>
          <w:kern w:val="0"/>
          <w:sz w:val="32"/>
          <w:szCs w:val="32"/>
        </w:rPr>
      </w:pPr>
      <w:r>
        <w:rPr>
          <w:rFonts w:eastAsia="仿宋_GB2312" w:cs="仿宋_GB2312"/>
          <w:kern w:val="0"/>
          <w:sz w:val="32"/>
          <w:szCs w:val="32"/>
        </w:rPr>
        <w:t>项目</w:t>
      </w:r>
      <w:r>
        <w:rPr>
          <w:rFonts w:hint="eastAsia" w:eastAsia="仿宋_GB2312" w:cs="仿宋_GB2312"/>
          <w:kern w:val="0"/>
          <w:sz w:val="32"/>
          <w:szCs w:val="32"/>
        </w:rPr>
        <w:t>实施</w:t>
      </w:r>
      <w:r>
        <w:rPr>
          <w:rFonts w:eastAsia="仿宋_GB2312" w:cs="仿宋_GB2312"/>
          <w:kern w:val="0"/>
          <w:sz w:val="32"/>
          <w:szCs w:val="32"/>
        </w:rPr>
        <w:t>单位</w:t>
      </w:r>
      <w:r>
        <w:rPr>
          <w:rFonts w:hint="eastAsia" w:eastAsia="仿宋_GB2312" w:cs="仿宋_GB2312"/>
          <w:kern w:val="0"/>
          <w:sz w:val="32"/>
          <w:szCs w:val="32"/>
        </w:rPr>
        <w:t>有健全</w:t>
      </w:r>
      <w:r>
        <w:rPr>
          <w:rFonts w:eastAsia="仿宋_GB2312" w:cs="仿宋_GB2312"/>
          <w:kern w:val="0"/>
          <w:sz w:val="32"/>
          <w:szCs w:val="32"/>
        </w:rPr>
        <w:t>的财务管理制度，</w:t>
      </w:r>
      <w:r>
        <w:rPr>
          <w:rFonts w:hint="eastAsia" w:eastAsia="仿宋_GB2312" w:cs="仿宋_GB2312"/>
          <w:kern w:val="0"/>
          <w:sz w:val="32"/>
          <w:szCs w:val="32"/>
        </w:rPr>
        <w:t>预算、开支控制和账务报销等财务制度，实施单位严格按照财务准则进行会计核算工作，</w:t>
      </w:r>
      <w:r>
        <w:rPr>
          <w:rFonts w:eastAsia="仿宋_GB2312" w:cs="仿宋_GB2312"/>
          <w:kern w:val="0"/>
          <w:sz w:val="32"/>
          <w:szCs w:val="32"/>
        </w:rPr>
        <w:t>项目资金使用规范合理，严格落实财务制度，并执行有效的监督机制。</w:t>
      </w:r>
    </w:p>
    <w:p w14:paraId="1C39C139">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30A0F254">
      <w:pPr>
        <w:spacing w:line="578" w:lineRule="exact"/>
        <w:ind w:firstLine="640"/>
        <w:rPr>
          <w:rFonts w:eastAsia="仿宋_GB2312" w:cs="仿宋_GB2312"/>
          <w:b/>
          <w:kern w:val="0"/>
          <w:sz w:val="32"/>
          <w:szCs w:val="32"/>
        </w:rPr>
      </w:pPr>
      <w:r>
        <w:rPr>
          <w:rFonts w:eastAsia="仿宋_GB2312" w:cs="仿宋_GB2312"/>
          <w:b/>
          <w:kern w:val="0"/>
          <w:sz w:val="32"/>
          <w:szCs w:val="32"/>
        </w:rPr>
        <w:t>（一）项目组织架构及实施流程。</w:t>
      </w:r>
    </w:p>
    <w:p w14:paraId="1B37E592">
      <w:pPr>
        <w:spacing w:line="578" w:lineRule="exact"/>
        <w:ind w:firstLine="640"/>
        <w:rPr>
          <w:rFonts w:eastAsia="仿宋_GB2312" w:cs="仿宋_GB2312"/>
          <w:kern w:val="0"/>
          <w:sz w:val="32"/>
          <w:szCs w:val="32"/>
        </w:rPr>
      </w:pPr>
      <w:r>
        <w:rPr>
          <w:rFonts w:hint="eastAsia" w:eastAsia="仿宋_GB2312" w:cs="仿宋_GB2312"/>
          <w:kern w:val="0"/>
          <w:sz w:val="32"/>
          <w:szCs w:val="32"/>
        </w:rPr>
        <w:t>为加快四川省南亚热带作物现代化产业体系建设，实现产业高质量发展及产业节能增效目标，实施乡村振兴战略。本项目实行首席专家负责制，配备顾问1人，下设团队办公室1个，团队办公室严格执行“两会、一对接”和“一事一报”制度，首席专家定期督查团队各岗位工作推进情况和组织团队工作交流会。紧密联系省农业厅创新团队领导小组办公室，及时传达学习上级四川创新团队建设文件，落实工作任务安排，配合四川创新团队建设管理。</w:t>
      </w:r>
    </w:p>
    <w:p w14:paraId="778C0F3C">
      <w:pPr>
        <w:spacing w:line="578" w:lineRule="exact"/>
        <w:ind w:firstLine="640"/>
        <w:rPr>
          <w:rFonts w:eastAsia="仿宋_GB2312" w:cs="仿宋_GB2312"/>
          <w:kern w:val="0"/>
          <w:sz w:val="32"/>
          <w:szCs w:val="32"/>
        </w:rPr>
      </w:pPr>
      <w:r>
        <w:rPr>
          <w:rFonts w:hint="eastAsia" w:eastAsia="仿宋_GB2312" w:cs="仿宋_GB2312"/>
          <w:kern w:val="0"/>
          <w:sz w:val="32"/>
          <w:szCs w:val="32"/>
        </w:rPr>
        <w:t>项目分别设置蔬菜新品种引育岗位、芒果新品种引育岗位、芒果栽培技术研究岗位、芒果病虫草害防控岗位、首席专家岗、芒果采后处理岗位、高效节水与废弃物循环利用研究岗位、食用菌研究岗位各1名，以科技创新为引领，助推南亚热带作物产业振兴。</w:t>
      </w:r>
    </w:p>
    <w:p w14:paraId="3A4C58FD">
      <w:pPr>
        <w:spacing w:line="578" w:lineRule="exact"/>
        <w:ind w:firstLine="640"/>
        <w:rPr>
          <w:rFonts w:eastAsia="仿宋_GB2312" w:cs="仿宋_GB2312"/>
          <w:b/>
          <w:kern w:val="0"/>
          <w:sz w:val="32"/>
          <w:szCs w:val="32"/>
        </w:rPr>
      </w:pPr>
      <w:r>
        <w:rPr>
          <w:rFonts w:eastAsia="仿宋_GB2312" w:cs="仿宋_GB2312"/>
          <w:b/>
          <w:kern w:val="0"/>
          <w:sz w:val="32"/>
          <w:szCs w:val="32"/>
        </w:rPr>
        <w:t>（二）项目管理情况。</w:t>
      </w:r>
    </w:p>
    <w:p w14:paraId="78C0E69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在实施过程中严格执行《中华人民共和国会计法》《中华人民共和国预算法》《中华人民共和国政府采购法》财政部《事业单位财务规则》《国家现代农业产业技术体系四川创新团队建设专项资金管理办法》，</w:t>
      </w:r>
      <w:r>
        <w:rPr>
          <w:rFonts w:eastAsia="仿宋_GB2312" w:cs="仿宋_GB2312"/>
          <w:kern w:val="0"/>
          <w:sz w:val="32"/>
          <w:szCs w:val="32"/>
        </w:rPr>
        <w:t>政府采购</w:t>
      </w:r>
      <w:r>
        <w:rPr>
          <w:rFonts w:hint="eastAsia" w:eastAsia="仿宋_GB2312" w:cs="仿宋_GB2312"/>
          <w:kern w:val="0"/>
          <w:sz w:val="32"/>
          <w:szCs w:val="32"/>
        </w:rPr>
        <w:t>严格按照《攀枝花市农林科学研究院非政府采购类项目的采购管理办法（试行）》（攀农林[2025]38号）执行，</w:t>
      </w:r>
      <w:r>
        <w:rPr>
          <w:rFonts w:eastAsia="仿宋_GB2312" w:cs="仿宋_GB2312"/>
          <w:kern w:val="0"/>
          <w:sz w:val="32"/>
          <w:szCs w:val="32"/>
        </w:rPr>
        <w:t>项目</w:t>
      </w:r>
      <w:r>
        <w:rPr>
          <w:rFonts w:hint="eastAsia" w:eastAsia="仿宋_GB2312" w:cs="仿宋_GB2312"/>
          <w:kern w:val="0"/>
          <w:sz w:val="32"/>
          <w:szCs w:val="32"/>
        </w:rPr>
        <w:t>资金管理遵循</w:t>
      </w:r>
      <w:r>
        <w:rPr>
          <w:rFonts w:eastAsia="仿宋_GB2312" w:cs="仿宋_GB2312"/>
          <w:kern w:val="0"/>
          <w:sz w:val="32"/>
          <w:szCs w:val="32"/>
        </w:rPr>
        <w:t>会计核算制度</w:t>
      </w:r>
      <w:r>
        <w:rPr>
          <w:rFonts w:hint="eastAsia" w:eastAsia="仿宋_GB2312" w:cs="仿宋_GB2312"/>
          <w:kern w:val="0"/>
          <w:sz w:val="32"/>
          <w:szCs w:val="32"/>
        </w:rPr>
        <w:t>、</w:t>
      </w:r>
      <w:r>
        <w:rPr>
          <w:rFonts w:eastAsia="仿宋_GB2312" w:cs="仿宋_GB2312"/>
          <w:kern w:val="0"/>
          <w:sz w:val="32"/>
          <w:szCs w:val="32"/>
        </w:rPr>
        <w:t>税务管理制度</w:t>
      </w:r>
      <w:r>
        <w:rPr>
          <w:rFonts w:hint="eastAsia" w:eastAsia="仿宋_GB2312" w:cs="仿宋_GB2312"/>
          <w:kern w:val="0"/>
          <w:sz w:val="32"/>
          <w:szCs w:val="32"/>
        </w:rPr>
        <w:t>和《攀枝花市农林科学研究院财务管理办法》（攀农林[2025]43号），项目招投标严格按照</w:t>
      </w:r>
      <w:r>
        <w:rPr>
          <w:rFonts w:eastAsia="仿宋_GB2312" w:cs="仿宋_GB2312"/>
          <w:kern w:val="0"/>
          <w:sz w:val="32"/>
          <w:szCs w:val="32"/>
        </w:rPr>
        <w:t>《招标投标法》《招标投标法实施条例》《招标投标法规定实施条例》</w:t>
      </w:r>
      <w:r>
        <w:rPr>
          <w:rFonts w:hint="eastAsia" w:eastAsia="仿宋_GB2312" w:cs="仿宋_GB2312"/>
          <w:kern w:val="0"/>
          <w:sz w:val="32"/>
          <w:szCs w:val="32"/>
        </w:rPr>
        <w:t>相关规定执行。</w:t>
      </w:r>
    </w:p>
    <w:p w14:paraId="79497074">
      <w:pPr>
        <w:spacing w:line="578" w:lineRule="exact"/>
        <w:ind w:firstLine="640"/>
        <w:rPr>
          <w:rFonts w:eastAsia="仿宋_GB2312" w:cs="仿宋_GB2312"/>
          <w:kern w:val="0"/>
          <w:sz w:val="32"/>
          <w:szCs w:val="32"/>
        </w:rPr>
      </w:pPr>
      <w:r>
        <w:rPr>
          <w:rFonts w:eastAsia="仿宋_GB2312" w:cs="仿宋_GB2312"/>
          <w:b/>
          <w:kern w:val="0"/>
          <w:sz w:val="32"/>
          <w:szCs w:val="32"/>
        </w:rPr>
        <w:t>（三）项目监管情况。</w:t>
      </w:r>
    </w:p>
    <w:p w14:paraId="1814A45F">
      <w:pPr>
        <w:spacing w:line="578" w:lineRule="exact"/>
        <w:ind w:firstLine="640"/>
        <w:rPr>
          <w:rFonts w:eastAsia="仿宋_GB2312" w:cs="仿宋_GB2312"/>
          <w:kern w:val="0"/>
          <w:sz w:val="32"/>
          <w:szCs w:val="32"/>
        </w:rPr>
      </w:pPr>
      <w:r>
        <w:rPr>
          <w:rFonts w:eastAsia="仿宋_GB2312" w:cs="仿宋_GB2312"/>
          <w:kern w:val="0"/>
          <w:sz w:val="32"/>
          <w:szCs w:val="32"/>
        </w:rPr>
        <w:t>为确保项目的顺利实施和管理，</w:t>
      </w:r>
      <w:r>
        <w:rPr>
          <w:rFonts w:hint="eastAsia" w:eastAsia="仿宋_GB2312" w:cs="仿宋_GB2312"/>
          <w:kern w:val="0"/>
          <w:sz w:val="32"/>
          <w:szCs w:val="32"/>
        </w:rPr>
        <w:t>本单位</w:t>
      </w:r>
      <w:r>
        <w:rPr>
          <w:rFonts w:eastAsia="仿宋_GB2312" w:cs="仿宋_GB2312"/>
          <w:kern w:val="0"/>
          <w:sz w:val="32"/>
          <w:szCs w:val="32"/>
        </w:rPr>
        <w:t>在整个</w:t>
      </w:r>
      <w:r>
        <w:rPr>
          <w:rFonts w:hint="eastAsia" w:eastAsia="仿宋_GB2312" w:cs="仿宋_GB2312"/>
          <w:kern w:val="0"/>
          <w:sz w:val="32"/>
          <w:szCs w:val="32"/>
        </w:rPr>
        <w:t>项目实施周期</w:t>
      </w:r>
      <w:r>
        <w:rPr>
          <w:rFonts w:eastAsia="仿宋_GB2312" w:cs="仿宋_GB2312"/>
          <w:kern w:val="0"/>
          <w:sz w:val="32"/>
          <w:szCs w:val="32"/>
        </w:rPr>
        <w:t>内</w:t>
      </w:r>
      <w:r>
        <w:rPr>
          <w:rFonts w:hint="eastAsia" w:eastAsia="仿宋_GB2312" w:cs="仿宋_GB2312"/>
          <w:kern w:val="0"/>
          <w:sz w:val="32"/>
          <w:szCs w:val="32"/>
        </w:rPr>
        <w:t>制定</w:t>
      </w:r>
      <w:r>
        <w:rPr>
          <w:rFonts w:eastAsia="仿宋_GB2312" w:cs="仿宋_GB2312"/>
          <w:kern w:val="0"/>
          <w:sz w:val="32"/>
          <w:szCs w:val="32"/>
        </w:rPr>
        <w:t>了一系列的监管手段和</w:t>
      </w:r>
      <w:r>
        <w:rPr>
          <w:rFonts w:hint="eastAsia" w:eastAsia="仿宋_GB2312" w:cs="仿宋_GB2312"/>
          <w:kern w:val="0"/>
          <w:sz w:val="32"/>
          <w:szCs w:val="32"/>
        </w:rPr>
        <w:t>监管</w:t>
      </w:r>
      <w:r>
        <w:rPr>
          <w:rFonts w:eastAsia="仿宋_GB2312" w:cs="仿宋_GB2312"/>
          <w:kern w:val="0"/>
          <w:sz w:val="32"/>
          <w:szCs w:val="32"/>
        </w:rPr>
        <w:t>程序，通过严格的监督管理，确保项目按时、按预算、按</w:t>
      </w:r>
      <w:r>
        <w:rPr>
          <w:rFonts w:hint="eastAsia" w:eastAsia="仿宋_GB2312" w:cs="仿宋_GB2312"/>
          <w:kern w:val="0"/>
          <w:sz w:val="32"/>
          <w:szCs w:val="32"/>
        </w:rPr>
        <w:t>绩效目标</w:t>
      </w:r>
      <w:r>
        <w:rPr>
          <w:rFonts w:eastAsia="仿宋_GB2312" w:cs="仿宋_GB2312"/>
          <w:kern w:val="0"/>
          <w:sz w:val="32"/>
          <w:szCs w:val="32"/>
        </w:rPr>
        <w:t>完成。</w:t>
      </w:r>
    </w:p>
    <w:p w14:paraId="396EC845">
      <w:pPr>
        <w:spacing w:line="578" w:lineRule="exact"/>
        <w:ind w:firstLine="640"/>
        <w:rPr>
          <w:rFonts w:eastAsia="仿宋_GB2312" w:cs="仿宋_GB2312"/>
          <w:kern w:val="0"/>
          <w:sz w:val="32"/>
          <w:szCs w:val="32"/>
        </w:rPr>
      </w:pPr>
      <w:r>
        <w:rPr>
          <w:rFonts w:hint="eastAsia" w:eastAsia="仿宋_GB2312" w:cs="仿宋_GB2312"/>
          <w:kern w:val="0"/>
          <w:sz w:val="32"/>
          <w:szCs w:val="32"/>
        </w:rPr>
        <w:t>采用现场</w:t>
      </w:r>
      <w:r>
        <w:rPr>
          <w:rFonts w:eastAsia="仿宋_GB2312" w:cs="仿宋_GB2312"/>
          <w:kern w:val="0"/>
          <w:sz w:val="32"/>
          <w:szCs w:val="32"/>
        </w:rPr>
        <w:t>检查</w:t>
      </w:r>
      <w:r>
        <w:rPr>
          <w:rFonts w:hint="eastAsia" w:eastAsia="仿宋_GB2312" w:cs="仿宋_GB2312"/>
          <w:kern w:val="0"/>
          <w:sz w:val="32"/>
          <w:szCs w:val="32"/>
        </w:rPr>
        <w:t>、</w:t>
      </w:r>
      <w:r>
        <w:rPr>
          <w:rFonts w:eastAsia="仿宋_GB2312" w:cs="仿宋_GB2312"/>
          <w:kern w:val="0"/>
          <w:sz w:val="32"/>
          <w:szCs w:val="32"/>
        </w:rPr>
        <w:t>项目</w:t>
      </w:r>
      <w:r>
        <w:rPr>
          <w:rFonts w:hint="eastAsia" w:eastAsia="仿宋_GB2312" w:cs="仿宋_GB2312"/>
          <w:kern w:val="0"/>
          <w:sz w:val="32"/>
          <w:szCs w:val="32"/>
        </w:rPr>
        <w:t>财务</w:t>
      </w:r>
      <w:r>
        <w:rPr>
          <w:rFonts w:eastAsia="仿宋_GB2312" w:cs="仿宋_GB2312"/>
          <w:kern w:val="0"/>
          <w:sz w:val="32"/>
          <w:szCs w:val="32"/>
        </w:rPr>
        <w:t>审计</w:t>
      </w:r>
      <w:r>
        <w:rPr>
          <w:rFonts w:hint="eastAsia" w:eastAsia="仿宋_GB2312" w:cs="仿宋_GB2312"/>
          <w:kern w:val="0"/>
          <w:sz w:val="32"/>
          <w:szCs w:val="32"/>
        </w:rPr>
        <w:t>和前期加速与备案、</w:t>
      </w:r>
      <w:r>
        <w:rPr>
          <w:rFonts w:eastAsia="仿宋_GB2312" w:cs="仿宋_GB2312"/>
          <w:kern w:val="0"/>
          <w:sz w:val="32"/>
          <w:szCs w:val="32"/>
        </w:rPr>
        <w:t>定期提交进度报告</w:t>
      </w:r>
      <w:r>
        <w:rPr>
          <w:rFonts w:hint="eastAsia" w:eastAsia="仿宋_GB2312" w:cs="仿宋_GB2312"/>
          <w:kern w:val="0"/>
          <w:sz w:val="32"/>
          <w:szCs w:val="32"/>
        </w:rPr>
        <w:t>与</w:t>
      </w:r>
      <w:r>
        <w:rPr>
          <w:rFonts w:eastAsia="仿宋_GB2312" w:cs="仿宋_GB2312"/>
          <w:kern w:val="0"/>
          <w:sz w:val="32"/>
          <w:szCs w:val="32"/>
        </w:rPr>
        <w:t>财务报告</w:t>
      </w:r>
      <w:r>
        <w:rPr>
          <w:rFonts w:hint="eastAsia" w:eastAsia="仿宋_GB2312" w:cs="仿宋_GB2312"/>
          <w:kern w:val="0"/>
          <w:sz w:val="32"/>
          <w:szCs w:val="32"/>
        </w:rPr>
        <w:t>、</w:t>
      </w:r>
      <w:r>
        <w:rPr>
          <w:rFonts w:eastAsia="仿宋_GB2312" w:cs="仿宋_GB2312"/>
          <w:kern w:val="0"/>
          <w:sz w:val="32"/>
          <w:szCs w:val="32"/>
        </w:rPr>
        <w:t>阶段性检查与评估</w:t>
      </w:r>
      <w:r>
        <w:rPr>
          <w:rFonts w:hint="eastAsia" w:eastAsia="仿宋_GB2312" w:cs="仿宋_GB2312"/>
          <w:kern w:val="0"/>
          <w:sz w:val="32"/>
          <w:szCs w:val="32"/>
        </w:rPr>
        <w:t>、</w:t>
      </w:r>
      <w:r>
        <w:rPr>
          <w:rFonts w:eastAsia="仿宋_GB2312" w:cs="仿宋_GB2312"/>
          <w:kern w:val="0"/>
          <w:sz w:val="32"/>
          <w:szCs w:val="32"/>
        </w:rPr>
        <w:t>项目验收与后评估</w:t>
      </w:r>
      <w:r>
        <w:rPr>
          <w:rFonts w:hint="eastAsia" w:eastAsia="仿宋_GB2312" w:cs="仿宋_GB2312"/>
          <w:kern w:val="0"/>
          <w:sz w:val="32"/>
          <w:szCs w:val="32"/>
        </w:rPr>
        <w:t>、</w:t>
      </w:r>
      <w:r>
        <w:rPr>
          <w:rFonts w:eastAsia="仿宋_GB2312" w:cs="仿宋_GB2312"/>
          <w:kern w:val="0"/>
          <w:sz w:val="32"/>
          <w:szCs w:val="32"/>
        </w:rPr>
        <w:t>资金监管</w:t>
      </w:r>
      <w:r>
        <w:rPr>
          <w:rFonts w:hint="eastAsia" w:eastAsia="仿宋_GB2312" w:cs="仿宋_GB2312"/>
          <w:kern w:val="0"/>
          <w:sz w:val="32"/>
          <w:szCs w:val="32"/>
        </w:rPr>
        <w:t>和</w:t>
      </w:r>
      <w:r>
        <w:rPr>
          <w:rFonts w:eastAsia="仿宋_GB2312" w:cs="仿宋_GB2312"/>
          <w:kern w:val="0"/>
          <w:sz w:val="32"/>
          <w:szCs w:val="32"/>
        </w:rPr>
        <w:t>风险预警</w:t>
      </w:r>
      <w:r>
        <w:rPr>
          <w:rFonts w:hint="eastAsia" w:eastAsia="仿宋_GB2312" w:cs="仿宋_GB2312"/>
          <w:kern w:val="0"/>
          <w:sz w:val="32"/>
          <w:szCs w:val="32"/>
        </w:rPr>
        <w:t>等监管程序。</w:t>
      </w:r>
      <w:r>
        <w:rPr>
          <w:rFonts w:eastAsia="仿宋_GB2312" w:cs="仿宋_GB2312"/>
          <w:kern w:val="0"/>
          <w:sz w:val="32"/>
          <w:szCs w:val="32"/>
        </w:rPr>
        <w:t>通过制度化的监管</w:t>
      </w:r>
      <w:r>
        <w:rPr>
          <w:rFonts w:hint="eastAsia" w:eastAsia="仿宋_GB2312" w:cs="仿宋_GB2312"/>
          <w:kern w:val="0"/>
          <w:sz w:val="32"/>
          <w:szCs w:val="32"/>
        </w:rPr>
        <w:t>手段和监管程序</w:t>
      </w:r>
      <w:r>
        <w:rPr>
          <w:rFonts w:eastAsia="仿宋_GB2312" w:cs="仿宋_GB2312"/>
          <w:kern w:val="0"/>
          <w:sz w:val="32"/>
          <w:szCs w:val="32"/>
        </w:rPr>
        <w:t>，</w:t>
      </w:r>
      <w:r>
        <w:rPr>
          <w:rFonts w:hint="eastAsia" w:eastAsia="仿宋_GB2312" w:cs="仿宋_GB2312"/>
          <w:kern w:val="0"/>
          <w:sz w:val="32"/>
          <w:szCs w:val="32"/>
        </w:rPr>
        <w:t>让</w:t>
      </w:r>
      <w:r>
        <w:rPr>
          <w:rFonts w:eastAsia="仿宋_GB2312" w:cs="仿宋_GB2312"/>
          <w:kern w:val="0"/>
          <w:sz w:val="32"/>
          <w:szCs w:val="32"/>
        </w:rPr>
        <w:t>项目风险得到有效控制，主管部门能够及早识别项目的潜在风险，并及时采取纠正措施，有效避免了项目因</w:t>
      </w:r>
      <w:r>
        <w:rPr>
          <w:rFonts w:hint="eastAsia" w:eastAsia="仿宋_GB2312" w:cs="仿宋_GB2312"/>
          <w:kern w:val="0"/>
          <w:sz w:val="32"/>
          <w:szCs w:val="32"/>
        </w:rPr>
        <w:t>潜在风险出现</w:t>
      </w:r>
      <w:r>
        <w:rPr>
          <w:rFonts w:eastAsia="仿宋_GB2312" w:cs="仿宋_GB2312"/>
          <w:kern w:val="0"/>
          <w:sz w:val="32"/>
          <w:szCs w:val="32"/>
        </w:rPr>
        <w:t>重大偏差</w:t>
      </w:r>
      <w:r>
        <w:rPr>
          <w:rFonts w:hint="eastAsia" w:eastAsia="仿宋_GB2312" w:cs="仿宋_GB2312"/>
          <w:kern w:val="0"/>
          <w:sz w:val="32"/>
          <w:szCs w:val="32"/>
        </w:rPr>
        <w:t>。</w:t>
      </w:r>
    </w:p>
    <w:p w14:paraId="78B0C39C">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四、项目绩效情况</w:t>
      </w:r>
    </w:p>
    <w:p w14:paraId="3ACC2729">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32F580E8">
      <w:pPr>
        <w:spacing w:line="578" w:lineRule="exact"/>
        <w:ind w:firstLine="640"/>
        <w:rPr>
          <w:rFonts w:eastAsia="仿宋_GB2312" w:cs="仿宋_GB2312"/>
          <w:kern w:val="0"/>
          <w:sz w:val="32"/>
          <w:szCs w:val="32"/>
        </w:rPr>
      </w:pPr>
      <w:r>
        <w:rPr>
          <w:rFonts w:hint="eastAsia" w:eastAsia="仿宋_GB2312" w:cs="仿宋_GB2312"/>
          <w:kern w:val="0"/>
          <w:sz w:val="32"/>
          <w:szCs w:val="32"/>
        </w:rPr>
        <w:t>截至</w:t>
      </w:r>
      <w:r>
        <w:rPr>
          <w:rFonts w:eastAsia="仿宋_GB2312" w:cs="仿宋_GB2312"/>
          <w:kern w:val="0"/>
          <w:sz w:val="32"/>
          <w:szCs w:val="32"/>
        </w:rPr>
        <w:t>评价时</w:t>
      </w:r>
      <w:r>
        <w:rPr>
          <w:rFonts w:hint="eastAsia" w:eastAsia="仿宋_GB2312" w:cs="仿宋_GB2312"/>
          <w:kern w:val="0"/>
          <w:sz w:val="32"/>
          <w:szCs w:val="32"/>
        </w:rPr>
        <w:t>点已全面完成本年度项目目标任务，本年度项目资金到位64.60万元，实际使用资金63.52万元，结余资金</w:t>
      </w:r>
      <w:r>
        <w:rPr>
          <w:rFonts w:eastAsia="仿宋_GB2312" w:cs="仿宋_GB2312"/>
          <w:kern w:val="0"/>
          <w:sz w:val="32"/>
          <w:szCs w:val="32"/>
        </w:rPr>
        <w:t>1.08</w:t>
      </w:r>
      <w:r>
        <w:rPr>
          <w:rFonts w:hint="eastAsia" w:eastAsia="仿宋_GB2312" w:cs="仿宋_GB2312"/>
          <w:kern w:val="0"/>
          <w:sz w:val="32"/>
          <w:szCs w:val="32"/>
        </w:rPr>
        <w:t>万元，全年无违规使用资金的情况发生。</w:t>
      </w:r>
    </w:p>
    <w:p w14:paraId="3AD7EE34">
      <w:pPr>
        <w:spacing w:line="578" w:lineRule="exact"/>
        <w:ind w:firstLine="640"/>
        <w:rPr>
          <w:rFonts w:eastAsia="仿宋_GB2312" w:cs="仿宋_GB2312"/>
          <w:kern w:val="0"/>
          <w:sz w:val="32"/>
          <w:szCs w:val="32"/>
        </w:rPr>
      </w:pPr>
    </w:p>
    <w:p w14:paraId="62C2222C">
      <w:pPr>
        <w:spacing w:line="578" w:lineRule="exact"/>
        <w:ind w:firstLine="640"/>
        <w:jc w:val="center"/>
        <w:rPr>
          <w:rFonts w:eastAsia="仿宋_GB2312" w:cs="仿宋_GB2312"/>
          <w:kern w:val="0"/>
          <w:sz w:val="32"/>
          <w:szCs w:val="32"/>
        </w:rPr>
      </w:pPr>
      <w:r>
        <w:rPr>
          <w:rFonts w:hint="eastAsia" w:eastAsia="仿宋_GB2312" w:cs="仿宋_GB2312"/>
          <w:kern w:val="0"/>
          <w:sz w:val="32"/>
          <w:szCs w:val="32"/>
        </w:rPr>
        <w:t>表3 项目年度绩效目标及完成情况</w:t>
      </w:r>
    </w:p>
    <w:tbl>
      <w:tblPr>
        <w:tblStyle w:val="1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5033"/>
        <w:gridCol w:w="1554"/>
        <w:gridCol w:w="1559"/>
      </w:tblGrid>
      <w:tr w14:paraId="2713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vAlign w:val="center"/>
          </w:tcPr>
          <w:p w14:paraId="5B287153">
            <w:pPr>
              <w:adjustRightInd w:val="0"/>
              <w:snapToGrid w:val="0"/>
              <w:spacing w:line="400" w:lineRule="exact"/>
              <w:jc w:val="center"/>
              <w:rPr>
                <w:lang w:val="zh-CN"/>
              </w:rPr>
            </w:pPr>
            <w:r>
              <w:rPr>
                <w:rFonts w:hint="eastAsia"/>
                <w:lang w:val="zh-CN"/>
              </w:rPr>
              <w:t>序号</w:t>
            </w:r>
          </w:p>
        </w:tc>
        <w:tc>
          <w:tcPr>
            <w:tcW w:w="5033" w:type="dxa"/>
            <w:vAlign w:val="center"/>
          </w:tcPr>
          <w:p w14:paraId="3B46C093">
            <w:pPr>
              <w:adjustRightInd w:val="0"/>
              <w:snapToGrid w:val="0"/>
              <w:spacing w:line="400" w:lineRule="exact"/>
              <w:jc w:val="center"/>
              <w:rPr>
                <w:lang w:val="zh-CN"/>
              </w:rPr>
            </w:pPr>
            <w:r>
              <w:rPr>
                <w:rFonts w:hint="eastAsia"/>
                <w:lang w:val="zh-CN"/>
              </w:rPr>
              <w:t>指标名称</w:t>
            </w:r>
          </w:p>
        </w:tc>
        <w:tc>
          <w:tcPr>
            <w:tcW w:w="1554" w:type="dxa"/>
            <w:vAlign w:val="center"/>
          </w:tcPr>
          <w:p w14:paraId="081D70D9">
            <w:pPr>
              <w:adjustRightInd w:val="0"/>
              <w:snapToGrid w:val="0"/>
              <w:spacing w:line="400" w:lineRule="exact"/>
              <w:jc w:val="center"/>
              <w:rPr>
                <w:lang w:val="zh-CN"/>
              </w:rPr>
            </w:pPr>
            <w:r>
              <w:rPr>
                <w:rFonts w:hint="eastAsia"/>
                <w:lang w:val="zh-CN"/>
              </w:rPr>
              <w:t>目标任务</w:t>
            </w:r>
          </w:p>
        </w:tc>
        <w:tc>
          <w:tcPr>
            <w:tcW w:w="1559" w:type="dxa"/>
            <w:vAlign w:val="center"/>
          </w:tcPr>
          <w:p w14:paraId="0D8B8231">
            <w:pPr>
              <w:adjustRightInd w:val="0"/>
              <w:snapToGrid w:val="0"/>
              <w:spacing w:line="400" w:lineRule="exact"/>
              <w:jc w:val="center"/>
              <w:rPr>
                <w:lang w:val="zh-CN"/>
              </w:rPr>
            </w:pPr>
            <w:r>
              <w:rPr>
                <w:rFonts w:hint="eastAsia"/>
                <w:lang w:val="zh-CN"/>
              </w:rPr>
              <w:t>实际完成</w:t>
            </w:r>
          </w:p>
        </w:tc>
      </w:tr>
      <w:tr w14:paraId="1739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31D1FC50">
            <w:pPr>
              <w:adjustRightInd w:val="0"/>
              <w:snapToGrid w:val="0"/>
              <w:spacing w:line="400" w:lineRule="exact"/>
              <w:jc w:val="center"/>
              <w:rPr>
                <w:lang w:val="zh-CN"/>
              </w:rPr>
            </w:pPr>
            <w:r>
              <w:rPr>
                <w:rFonts w:hint="eastAsia"/>
                <w:lang w:val="zh-CN"/>
              </w:rPr>
              <w:t>1</w:t>
            </w:r>
          </w:p>
        </w:tc>
        <w:tc>
          <w:tcPr>
            <w:tcW w:w="5033" w:type="dxa"/>
            <w:tcBorders>
              <w:top w:val="single" w:color="auto" w:sz="4" w:space="0"/>
              <w:left w:val="single" w:color="auto" w:sz="4" w:space="0"/>
              <w:right w:val="single" w:color="auto" w:sz="4" w:space="0"/>
            </w:tcBorders>
            <w:vAlign w:val="center"/>
          </w:tcPr>
          <w:p w14:paraId="22911BE5">
            <w:pPr>
              <w:adjustRightInd w:val="0"/>
              <w:snapToGrid w:val="0"/>
              <w:spacing w:line="400" w:lineRule="exact"/>
              <w:jc w:val="left"/>
              <w:rPr>
                <w:lang w:val="zh-CN"/>
              </w:rPr>
            </w:pPr>
            <w:r>
              <w:rPr>
                <w:rFonts w:hint="eastAsia"/>
                <w:lang w:val="zh-CN"/>
              </w:rPr>
              <w:t>到示范县或示范基地指导</w:t>
            </w:r>
          </w:p>
        </w:tc>
        <w:tc>
          <w:tcPr>
            <w:tcW w:w="1554" w:type="dxa"/>
            <w:tcBorders>
              <w:top w:val="single" w:color="auto" w:sz="4" w:space="0"/>
              <w:left w:val="single" w:color="auto" w:sz="4" w:space="0"/>
              <w:right w:val="single" w:color="auto" w:sz="4" w:space="0"/>
            </w:tcBorders>
            <w:vAlign w:val="center"/>
          </w:tcPr>
          <w:p w14:paraId="5AF00B2F">
            <w:pPr>
              <w:adjustRightInd w:val="0"/>
              <w:snapToGrid w:val="0"/>
              <w:spacing w:line="400" w:lineRule="exact"/>
              <w:jc w:val="center"/>
              <w:rPr>
                <w:lang w:val="zh-CN"/>
              </w:rPr>
            </w:pPr>
            <w:r>
              <w:rPr>
                <w:rFonts w:hint="eastAsia"/>
                <w:lang w:val="zh-CN"/>
              </w:rPr>
              <w:t>70</w:t>
            </w:r>
          </w:p>
        </w:tc>
        <w:tc>
          <w:tcPr>
            <w:tcW w:w="1559" w:type="dxa"/>
            <w:tcBorders>
              <w:top w:val="single" w:color="auto" w:sz="4" w:space="0"/>
              <w:left w:val="single" w:color="auto" w:sz="4" w:space="0"/>
              <w:right w:val="single" w:color="auto" w:sz="4" w:space="0"/>
            </w:tcBorders>
            <w:vAlign w:val="center"/>
          </w:tcPr>
          <w:p w14:paraId="7A88F2E2">
            <w:pPr>
              <w:adjustRightInd w:val="0"/>
              <w:snapToGrid w:val="0"/>
              <w:spacing w:line="400" w:lineRule="exact"/>
              <w:jc w:val="center"/>
              <w:rPr>
                <w:lang w:val="zh-CN"/>
              </w:rPr>
            </w:pPr>
            <w:r>
              <w:rPr>
                <w:rFonts w:hint="eastAsia"/>
              </w:rPr>
              <w:t>90</w:t>
            </w:r>
          </w:p>
        </w:tc>
      </w:tr>
      <w:tr w14:paraId="1E11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34077DC9">
            <w:pPr>
              <w:adjustRightInd w:val="0"/>
              <w:snapToGrid w:val="0"/>
              <w:spacing w:line="400" w:lineRule="exact"/>
              <w:jc w:val="center"/>
              <w:rPr>
                <w:lang w:val="zh-CN"/>
              </w:rPr>
            </w:pPr>
            <w:r>
              <w:rPr>
                <w:rFonts w:hint="eastAsia"/>
                <w:lang w:val="zh-CN"/>
              </w:rPr>
              <w:t>2</w:t>
            </w:r>
          </w:p>
        </w:tc>
        <w:tc>
          <w:tcPr>
            <w:tcW w:w="5033" w:type="dxa"/>
            <w:tcBorders>
              <w:top w:val="single" w:color="auto" w:sz="4" w:space="0"/>
              <w:left w:val="single" w:color="auto" w:sz="4" w:space="0"/>
              <w:right w:val="single" w:color="auto" w:sz="4" w:space="0"/>
            </w:tcBorders>
            <w:vAlign w:val="center"/>
          </w:tcPr>
          <w:p w14:paraId="07784DBA">
            <w:pPr>
              <w:adjustRightInd w:val="0"/>
              <w:snapToGrid w:val="0"/>
              <w:spacing w:line="400" w:lineRule="exact"/>
              <w:jc w:val="left"/>
              <w:rPr>
                <w:lang w:val="zh-CN"/>
              </w:rPr>
            </w:pPr>
            <w:r>
              <w:rPr>
                <w:rFonts w:hint="eastAsia"/>
                <w:lang w:val="zh-CN"/>
              </w:rPr>
              <w:t>成功处置生产应急事件1件</w:t>
            </w:r>
          </w:p>
        </w:tc>
        <w:tc>
          <w:tcPr>
            <w:tcW w:w="1554" w:type="dxa"/>
            <w:tcBorders>
              <w:top w:val="single" w:color="auto" w:sz="4" w:space="0"/>
              <w:left w:val="single" w:color="auto" w:sz="4" w:space="0"/>
              <w:right w:val="single" w:color="auto" w:sz="4" w:space="0"/>
            </w:tcBorders>
            <w:vAlign w:val="center"/>
          </w:tcPr>
          <w:p w14:paraId="380C9901">
            <w:pPr>
              <w:adjustRightInd w:val="0"/>
              <w:snapToGrid w:val="0"/>
              <w:spacing w:line="400" w:lineRule="exact"/>
              <w:jc w:val="center"/>
              <w:rPr>
                <w:lang w:val="zh-CN"/>
              </w:rPr>
            </w:pPr>
            <w:r>
              <w:rPr>
                <w:rFonts w:hint="eastAsia"/>
                <w:lang w:val="zh-CN"/>
              </w:rPr>
              <w:t>3</w:t>
            </w:r>
          </w:p>
        </w:tc>
        <w:tc>
          <w:tcPr>
            <w:tcW w:w="1559" w:type="dxa"/>
            <w:tcBorders>
              <w:top w:val="single" w:color="auto" w:sz="4" w:space="0"/>
              <w:left w:val="single" w:color="auto" w:sz="4" w:space="0"/>
              <w:right w:val="single" w:color="auto" w:sz="4" w:space="0"/>
            </w:tcBorders>
            <w:vAlign w:val="center"/>
          </w:tcPr>
          <w:p w14:paraId="1EA96597">
            <w:pPr>
              <w:adjustRightInd w:val="0"/>
              <w:snapToGrid w:val="0"/>
              <w:spacing w:line="400" w:lineRule="exact"/>
              <w:jc w:val="center"/>
              <w:rPr>
                <w:lang w:val="zh-CN"/>
              </w:rPr>
            </w:pPr>
            <w:r>
              <w:rPr>
                <w:rFonts w:hint="eastAsia"/>
              </w:rPr>
              <w:t>23</w:t>
            </w:r>
          </w:p>
        </w:tc>
      </w:tr>
      <w:tr w14:paraId="5AF2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257D01B2">
            <w:pPr>
              <w:adjustRightInd w:val="0"/>
              <w:snapToGrid w:val="0"/>
              <w:spacing w:line="400" w:lineRule="exact"/>
              <w:jc w:val="center"/>
              <w:rPr>
                <w:lang w:val="zh-CN"/>
              </w:rPr>
            </w:pPr>
            <w:r>
              <w:rPr>
                <w:rFonts w:hint="eastAsia"/>
                <w:lang w:val="zh-CN"/>
              </w:rPr>
              <w:t>3</w:t>
            </w:r>
          </w:p>
        </w:tc>
        <w:tc>
          <w:tcPr>
            <w:tcW w:w="5033" w:type="dxa"/>
            <w:tcBorders>
              <w:top w:val="single" w:color="auto" w:sz="4" w:space="0"/>
              <w:left w:val="single" w:color="auto" w:sz="4" w:space="0"/>
              <w:right w:val="single" w:color="auto" w:sz="4" w:space="0"/>
            </w:tcBorders>
            <w:vAlign w:val="center"/>
          </w:tcPr>
          <w:p w14:paraId="0DD8E18F">
            <w:pPr>
              <w:adjustRightInd w:val="0"/>
              <w:snapToGrid w:val="0"/>
              <w:spacing w:line="400" w:lineRule="exact"/>
              <w:jc w:val="left"/>
              <w:rPr>
                <w:lang w:val="zh-CN"/>
              </w:rPr>
            </w:pPr>
            <w:r>
              <w:rPr>
                <w:rFonts w:hint="eastAsia"/>
                <w:lang w:val="zh-CN"/>
              </w:rPr>
              <w:t>技术指导服务面积</w:t>
            </w:r>
          </w:p>
        </w:tc>
        <w:tc>
          <w:tcPr>
            <w:tcW w:w="1554" w:type="dxa"/>
            <w:tcBorders>
              <w:top w:val="single" w:color="auto" w:sz="4" w:space="0"/>
              <w:left w:val="single" w:color="auto" w:sz="4" w:space="0"/>
              <w:right w:val="single" w:color="auto" w:sz="4" w:space="0"/>
            </w:tcBorders>
            <w:vAlign w:val="center"/>
          </w:tcPr>
          <w:p w14:paraId="5FFD1309">
            <w:pPr>
              <w:adjustRightInd w:val="0"/>
              <w:snapToGrid w:val="0"/>
              <w:spacing w:line="400" w:lineRule="exact"/>
              <w:jc w:val="center"/>
              <w:rPr>
                <w:lang w:val="zh-CN"/>
              </w:rPr>
            </w:pPr>
            <w:r>
              <w:rPr>
                <w:rFonts w:hint="eastAsia"/>
                <w:lang w:val="zh-CN"/>
              </w:rPr>
              <w:t>20</w:t>
            </w:r>
          </w:p>
        </w:tc>
        <w:tc>
          <w:tcPr>
            <w:tcW w:w="1559" w:type="dxa"/>
            <w:tcBorders>
              <w:top w:val="single" w:color="auto" w:sz="4" w:space="0"/>
              <w:left w:val="single" w:color="auto" w:sz="4" w:space="0"/>
              <w:right w:val="single" w:color="auto" w:sz="4" w:space="0"/>
            </w:tcBorders>
            <w:vAlign w:val="center"/>
          </w:tcPr>
          <w:p w14:paraId="7481584B">
            <w:pPr>
              <w:adjustRightInd w:val="0"/>
              <w:snapToGrid w:val="0"/>
              <w:spacing w:line="400" w:lineRule="exact"/>
              <w:jc w:val="center"/>
              <w:rPr>
                <w:lang w:val="zh-CN"/>
              </w:rPr>
            </w:pPr>
            <w:r>
              <w:rPr>
                <w:rFonts w:hint="eastAsia"/>
              </w:rPr>
              <w:t>6</w:t>
            </w:r>
          </w:p>
        </w:tc>
      </w:tr>
      <w:tr w14:paraId="268C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03B2CDBE">
            <w:pPr>
              <w:adjustRightInd w:val="0"/>
              <w:snapToGrid w:val="0"/>
              <w:spacing w:line="400" w:lineRule="exact"/>
              <w:jc w:val="center"/>
              <w:rPr>
                <w:lang w:val="zh-CN"/>
              </w:rPr>
            </w:pPr>
            <w:r>
              <w:rPr>
                <w:rFonts w:hint="eastAsia"/>
                <w:lang w:val="zh-CN"/>
              </w:rPr>
              <w:t>4</w:t>
            </w:r>
          </w:p>
        </w:tc>
        <w:tc>
          <w:tcPr>
            <w:tcW w:w="5033" w:type="dxa"/>
            <w:tcBorders>
              <w:top w:val="single" w:color="auto" w:sz="4" w:space="0"/>
              <w:left w:val="single" w:color="auto" w:sz="4" w:space="0"/>
              <w:right w:val="single" w:color="auto" w:sz="4" w:space="0"/>
            </w:tcBorders>
            <w:vAlign w:val="center"/>
          </w:tcPr>
          <w:p w14:paraId="2EF3F850">
            <w:pPr>
              <w:adjustRightInd w:val="0"/>
              <w:snapToGrid w:val="0"/>
              <w:spacing w:line="400" w:lineRule="exact"/>
              <w:jc w:val="left"/>
              <w:rPr>
                <w:lang w:val="zh-CN"/>
              </w:rPr>
            </w:pPr>
            <w:r>
              <w:rPr>
                <w:rFonts w:hint="eastAsia"/>
                <w:lang w:val="zh-CN"/>
              </w:rPr>
              <w:t>在创新团队平台上报送信息</w:t>
            </w:r>
          </w:p>
        </w:tc>
        <w:tc>
          <w:tcPr>
            <w:tcW w:w="1554" w:type="dxa"/>
            <w:tcBorders>
              <w:top w:val="single" w:color="auto" w:sz="4" w:space="0"/>
              <w:left w:val="single" w:color="auto" w:sz="4" w:space="0"/>
              <w:right w:val="single" w:color="auto" w:sz="4" w:space="0"/>
            </w:tcBorders>
            <w:vAlign w:val="center"/>
          </w:tcPr>
          <w:p w14:paraId="45A4F96F">
            <w:pPr>
              <w:adjustRightInd w:val="0"/>
              <w:snapToGrid w:val="0"/>
              <w:spacing w:line="400" w:lineRule="exact"/>
              <w:jc w:val="center"/>
              <w:rPr>
                <w:lang w:val="zh-CN"/>
              </w:rPr>
            </w:pPr>
            <w:r>
              <w:rPr>
                <w:rFonts w:hint="eastAsia"/>
                <w:lang w:val="zh-CN"/>
              </w:rPr>
              <w:t>42</w:t>
            </w:r>
          </w:p>
        </w:tc>
        <w:tc>
          <w:tcPr>
            <w:tcW w:w="1559" w:type="dxa"/>
            <w:tcBorders>
              <w:top w:val="single" w:color="auto" w:sz="4" w:space="0"/>
              <w:left w:val="single" w:color="auto" w:sz="4" w:space="0"/>
              <w:right w:val="single" w:color="auto" w:sz="4" w:space="0"/>
            </w:tcBorders>
            <w:vAlign w:val="center"/>
          </w:tcPr>
          <w:p w14:paraId="0899C28A">
            <w:pPr>
              <w:adjustRightInd w:val="0"/>
              <w:snapToGrid w:val="0"/>
              <w:spacing w:line="400" w:lineRule="exact"/>
              <w:jc w:val="center"/>
              <w:rPr>
                <w:lang w:val="zh-CN"/>
              </w:rPr>
            </w:pPr>
            <w:r>
              <w:rPr>
                <w:rFonts w:hint="eastAsia"/>
              </w:rPr>
              <w:t>2000</w:t>
            </w:r>
          </w:p>
        </w:tc>
      </w:tr>
      <w:tr w14:paraId="4570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61460DEF">
            <w:pPr>
              <w:adjustRightInd w:val="0"/>
              <w:snapToGrid w:val="0"/>
              <w:spacing w:line="400" w:lineRule="exact"/>
              <w:jc w:val="center"/>
              <w:rPr>
                <w:lang w:val="zh-CN"/>
              </w:rPr>
            </w:pPr>
            <w:r>
              <w:rPr>
                <w:rFonts w:hint="eastAsia"/>
                <w:lang w:val="zh-CN"/>
              </w:rPr>
              <w:t>5</w:t>
            </w:r>
          </w:p>
        </w:tc>
        <w:tc>
          <w:tcPr>
            <w:tcW w:w="5033" w:type="dxa"/>
            <w:tcBorders>
              <w:top w:val="single" w:color="auto" w:sz="4" w:space="0"/>
              <w:left w:val="single" w:color="auto" w:sz="4" w:space="0"/>
              <w:right w:val="single" w:color="auto" w:sz="4" w:space="0"/>
            </w:tcBorders>
            <w:vAlign w:val="center"/>
          </w:tcPr>
          <w:p w14:paraId="13FDDC60">
            <w:pPr>
              <w:adjustRightInd w:val="0"/>
              <w:snapToGrid w:val="0"/>
              <w:spacing w:line="400" w:lineRule="exact"/>
              <w:jc w:val="left"/>
              <w:rPr>
                <w:lang w:val="zh-CN"/>
              </w:rPr>
            </w:pPr>
            <w:r>
              <w:rPr>
                <w:rFonts w:hint="eastAsia"/>
                <w:lang w:val="zh-CN"/>
              </w:rPr>
              <w:t>培训指导人次</w:t>
            </w:r>
          </w:p>
        </w:tc>
        <w:tc>
          <w:tcPr>
            <w:tcW w:w="1554" w:type="dxa"/>
            <w:tcBorders>
              <w:top w:val="single" w:color="auto" w:sz="4" w:space="0"/>
              <w:left w:val="single" w:color="auto" w:sz="4" w:space="0"/>
              <w:right w:val="single" w:color="auto" w:sz="4" w:space="0"/>
            </w:tcBorders>
            <w:vAlign w:val="center"/>
          </w:tcPr>
          <w:p w14:paraId="73821F56">
            <w:pPr>
              <w:adjustRightInd w:val="0"/>
              <w:snapToGrid w:val="0"/>
              <w:spacing w:line="400" w:lineRule="exact"/>
              <w:jc w:val="center"/>
              <w:rPr>
                <w:lang w:val="zh-CN"/>
              </w:rPr>
            </w:pPr>
            <w:r>
              <w:rPr>
                <w:rFonts w:hint="eastAsia"/>
                <w:lang w:val="zh-CN"/>
              </w:rPr>
              <w:t>1700</w:t>
            </w:r>
          </w:p>
        </w:tc>
        <w:tc>
          <w:tcPr>
            <w:tcW w:w="1559" w:type="dxa"/>
            <w:tcBorders>
              <w:top w:val="single" w:color="auto" w:sz="4" w:space="0"/>
              <w:left w:val="single" w:color="auto" w:sz="4" w:space="0"/>
              <w:right w:val="single" w:color="auto" w:sz="4" w:space="0"/>
            </w:tcBorders>
            <w:vAlign w:val="center"/>
          </w:tcPr>
          <w:p w14:paraId="303090F8">
            <w:pPr>
              <w:adjustRightInd w:val="0"/>
              <w:snapToGrid w:val="0"/>
              <w:spacing w:line="400" w:lineRule="exact"/>
              <w:jc w:val="center"/>
              <w:rPr>
                <w:lang w:val="zh-CN"/>
              </w:rPr>
            </w:pPr>
            <w:r>
              <w:rPr>
                <w:rFonts w:hint="eastAsia"/>
              </w:rPr>
              <w:t>55</w:t>
            </w:r>
          </w:p>
        </w:tc>
      </w:tr>
      <w:tr w14:paraId="2B2D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28444D21">
            <w:pPr>
              <w:adjustRightInd w:val="0"/>
              <w:snapToGrid w:val="0"/>
              <w:spacing w:line="400" w:lineRule="exact"/>
              <w:jc w:val="center"/>
              <w:rPr>
                <w:lang w:val="zh-CN"/>
              </w:rPr>
            </w:pPr>
            <w:r>
              <w:rPr>
                <w:rFonts w:hint="eastAsia"/>
                <w:lang w:val="zh-CN"/>
              </w:rPr>
              <w:t>6</w:t>
            </w:r>
          </w:p>
        </w:tc>
        <w:tc>
          <w:tcPr>
            <w:tcW w:w="5033" w:type="dxa"/>
            <w:tcBorders>
              <w:top w:val="single" w:color="auto" w:sz="4" w:space="0"/>
              <w:left w:val="single" w:color="auto" w:sz="4" w:space="0"/>
              <w:right w:val="single" w:color="auto" w:sz="4" w:space="0"/>
            </w:tcBorders>
            <w:vAlign w:val="center"/>
          </w:tcPr>
          <w:p w14:paraId="3FC81984">
            <w:pPr>
              <w:adjustRightInd w:val="0"/>
              <w:snapToGrid w:val="0"/>
              <w:spacing w:line="400" w:lineRule="exact"/>
              <w:jc w:val="left"/>
              <w:rPr>
                <w:lang w:val="zh-CN"/>
              </w:rPr>
            </w:pPr>
            <w:r>
              <w:rPr>
                <w:rFonts w:hint="eastAsia"/>
                <w:lang w:val="zh-CN"/>
              </w:rPr>
              <w:t>发表论文、专利</w:t>
            </w:r>
          </w:p>
        </w:tc>
        <w:tc>
          <w:tcPr>
            <w:tcW w:w="1554" w:type="dxa"/>
            <w:tcBorders>
              <w:top w:val="single" w:color="auto" w:sz="4" w:space="0"/>
              <w:left w:val="single" w:color="auto" w:sz="4" w:space="0"/>
              <w:right w:val="single" w:color="auto" w:sz="4" w:space="0"/>
            </w:tcBorders>
            <w:vAlign w:val="center"/>
          </w:tcPr>
          <w:p w14:paraId="2B23575F">
            <w:pPr>
              <w:adjustRightInd w:val="0"/>
              <w:snapToGrid w:val="0"/>
              <w:spacing w:line="400" w:lineRule="exact"/>
              <w:jc w:val="center"/>
              <w:rPr>
                <w:lang w:val="zh-CN"/>
              </w:rPr>
            </w:pPr>
            <w:r>
              <w:rPr>
                <w:rFonts w:hint="eastAsia"/>
                <w:lang w:val="zh-CN"/>
              </w:rPr>
              <w:t>6</w:t>
            </w:r>
          </w:p>
        </w:tc>
        <w:tc>
          <w:tcPr>
            <w:tcW w:w="1559" w:type="dxa"/>
            <w:tcBorders>
              <w:top w:val="single" w:color="auto" w:sz="4" w:space="0"/>
              <w:left w:val="single" w:color="auto" w:sz="4" w:space="0"/>
              <w:right w:val="single" w:color="auto" w:sz="4" w:space="0"/>
            </w:tcBorders>
            <w:vAlign w:val="center"/>
          </w:tcPr>
          <w:p w14:paraId="383DBE4D">
            <w:pPr>
              <w:adjustRightInd w:val="0"/>
              <w:snapToGrid w:val="0"/>
              <w:spacing w:line="400" w:lineRule="exact"/>
              <w:jc w:val="center"/>
              <w:rPr>
                <w:lang w:val="zh-CN"/>
              </w:rPr>
            </w:pPr>
            <w:r>
              <w:rPr>
                <w:rFonts w:hint="eastAsia"/>
              </w:rPr>
              <w:t>4</w:t>
            </w:r>
          </w:p>
        </w:tc>
      </w:tr>
      <w:tr w14:paraId="3040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2E37B9DB">
            <w:pPr>
              <w:adjustRightInd w:val="0"/>
              <w:snapToGrid w:val="0"/>
              <w:spacing w:line="400" w:lineRule="exact"/>
              <w:jc w:val="center"/>
              <w:rPr>
                <w:lang w:val="zh-CN"/>
              </w:rPr>
            </w:pPr>
            <w:r>
              <w:rPr>
                <w:rFonts w:hint="eastAsia"/>
                <w:lang w:val="zh-CN"/>
              </w:rPr>
              <w:t>7</w:t>
            </w:r>
          </w:p>
        </w:tc>
        <w:tc>
          <w:tcPr>
            <w:tcW w:w="5033" w:type="dxa"/>
            <w:tcBorders>
              <w:top w:val="single" w:color="auto" w:sz="4" w:space="0"/>
              <w:left w:val="single" w:color="auto" w:sz="4" w:space="0"/>
              <w:right w:val="single" w:color="auto" w:sz="4" w:space="0"/>
            </w:tcBorders>
            <w:vAlign w:val="center"/>
          </w:tcPr>
          <w:p w14:paraId="713DDF6F">
            <w:pPr>
              <w:adjustRightInd w:val="0"/>
              <w:snapToGrid w:val="0"/>
              <w:spacing w:line="400" w:lineRule="exact"/>
              <w:jc w:val="left"/>
              <w:rPr>
                <w:lang w:val="zh-CN"/>
              </w:rPr>
            </w:pPr>
            <w:r>
              <w:rPr>
                <w:rFonts w:hint="eastAsia"/>
                <w:lang w:val="zh-CN"/>
              </w:rPr>
              <w:t>建立基地示范数</w:t>
            </w:r>
          </w:p>
        </w:tc>
        <w:tc>
          <w:tcPr>
            <w:tcW w:w="1554" w:type="dxa"/>
            <w:tcBorders>
              <w:top w:val="single" w:color="auto" w:sz="4" w:space="0"/>
              <w:left w:val="single" w:color="auto" w:sz="4" w:space="0"/>
              <w:right w:val="single" w:color="auto" w:sz="4" w:space="0"/>
            </w:tcBorders>
            <w:vAlign w:val="center"/>
          </w:tcPr>
          <w:p w14:paraId="1FBFEAC2">
            <w:pPr>
              <w:adjustRightInd w:val="0"/>
              <w:snapToGrid w:val="0"/>
              <w:spacing w:line="400" w:lineRule="exact"/>
              <w:jc w:val="center"/>
              <w:rPr>
                <w:lang w:val="zh-CN"/>
              </w:rPr>
            </w:pPr>
            <w:r>
              <w:rPr>
                <w:rFonts w:hint="eastAsia"/>
                <w:lang w:val="zh-CN"/>
              </w:rPr>
              <w:t>4</w:t>
            </w:r>
          </w:p>
        </w:tc>
        <w:tc>
          <w:tcPr>
            <w:tcW w:w="1559" w:type="dxa"/>
            <w:tcBorders>
              <w:top w:val="single" w:color="auto" w:sz="4" w:space="0"/>
              <w:left w:val="single" w:color="auto" w:sz="4" w:space="0"/>
              <w:right w:val="single" w:color="auto" w:sz="4" w:space="0"/>
            </w:tcBorders>
            <w:vAlign w:val="center"/>
          </w:tcPr>
          <w:p w14:paraId="590D22E6">
            <w:pPr>
              <w:adjustRightInd w:val="0"/>
              <w:snapToGrid w:val="0"/>
              <w:spacing w:line="400" w:lineRule="exact"/>
              <w:jc w:val="center"/>
              <w:rPr>
                <w:lang w:val="zh-CN"/>
              </w:rPr>
            </w:pPr>
            <w:r>
              <w:rPr>
                <w:rFonts w:hint="eastAsia"/>
              </w:rPr>
              <w:t>15</w:t>
            </w:r>
          </w:p>
        </w:tc>
      </w:tr>
      <w:tr w14:paraId="1B01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30902CD6">
            <w:pPr>
              <w:adjustRightInd w:val="0"/>
              <w:snapToGrid w:val="0"/>
              <w:spacing w:line="400" w:lineRule="exact"/>
              <w:jc w:val="center"/>
              <w:rPr>
                <w:lang w:val="zh-CN"/>
              </w:rPr>
            </w:pPr>
            <w:r>
              <w:rPr>
                <w:rFonts w:hint="eastAsia"/>
                <w:lang w:val="zh-CN"/>
              </w:rPr>
              <w:t>8</w:t>
            </w:r>
          </w:p>
        </w:tc>
        <w:tc>
          <w:tcPr>
            <w:tcW w:w="5033" w:type="dxa"/>
            <w:tcBorders>
              <w:top w:val="single" w:color="auto" w:sz="4" w:space="0"/>
              <w:left w:val="single" w:color="auto" w:sz="4" w:space="0"/>
              <w:right w:val="single" w:color="auto" w:sz="4" w:space="0"/>
            </w:tcBorders>
            <w:vAlign w:val="center"/>
          </w:tcPr>
          <w:p w14:paraId="20F2528E">
            <w:pPr>
              <w:adjustRightInd w:val="0"/>
              <w:snapToGrid w:val="0"/>
              <w:spacing w:line="400" w:lineRule="exact"/>
              <w:jc w:val="left"/>
              <w:rPr>
                <w:lang w:val="zh-CN"/>
              </w:rPr>
            </w:pPr>
            <w:r>
              <w:rPr>
                <w:rFonts w:hint="eastAsia"/>
                <w:lang w:val="zh-CN"/>
              </w:rPr>
              <w:t>引进新品种、新技术</w:t>
            </w:r>
          </w:p>
        </w:tc>
        <w:tc>
          <w:tcPr>
            <w:tcW w:w="1554" w:type="dxa"/>
            <w:tcBorders>
              <w:top w:val="single" w:color="auto" w:sz="4" w:space="0"/>
              <w:left w:val="single" w:color="auto" w:sz="4" w:space="0"/>
              <w:right w:val="single" w:color="auto" w:sz="4" w:space="0"/>
            </w:tcBorders>
            <w:vAlign w:val="center"/>
          </w:tcPr>
          <w:p w14:paraId="56BEC688">
            <w:pPr>
              <w:adjustRightInd w:val="0"/>
              <w:snapToGrid w:val="0"/>
              <w:spacing w:line="400" w:lineRule="exact"/>
              <w:jc w:val="center"/>
              <w:rPr>
                <w:lang w:val="zh-CN"/>
              </w:rPr>
            </w:pPr>
            <w:r>
              <w:rPr>
                <w:rFonts w:hint="eastAsia"/>
                <w:lang w:val="zh-CN"/>
              </w:rPr>
              <w:t>13</w:t>
            </w:r>
          </w:p>
        </w:tc>
        <w:tc>
          <w:tcPr>
            <w:tcW w:w="1559" w:type="dxa"/>
            <w:tcBorders>
              <w:top w:val="single" w:color="auto" w:sz="4" w:space="0"/>
              <w:left w:val="single" w:color="auto" w:sz="4" w:space="0"/>
              <w:right w:val="single" w:color="auto" w:sz="4" w:space="0"/>
            </w:tcBorders>
            <w:vAlign w:val="center"/>
          </w:tcPr>
          <w:p w14:paraId="664FC824">
            <w:pPr>
              <w:adjustRightInd w:val="0"/>
              <w:snapToGrid w:val="0"/>
              <w:spacing w:line="400" w:lineRule="exact"/>
              <w:jc w:val="center"/>
              <w:rPr>
                <w:lang w:val="zh-CN"/>
              </w:rPr>
            </w:pPr>
            <w:r>
              <w:rPr>
                <w:rFonts w:hint="eastAsia"/>
              </w:rPr>
              <w:t>6</w:t>
            </w:r>
          </w:p>
        </w:tc>
      </w:tr>
      <w:tr w14:paraId="7143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0216D512">
            <w:pPr>
              <w:adjustRightInd w:val="0"/>
              <w:snapToGrid w:val="0"/>
              <w:spacing w:line="400" w:lineRule="exact"/>
              <w:jc w:val="center"/>
              <w:rPr>
                <w:lang w:val="zh-CN"/>
              </w:rPr>
            </w:pPr>
            <w:r>
              <w:rPr>
                <w:rFonts w:hint="eastAsia"/>
                <w:lang w:val="zh-CN"/>
              </w:rPr>
              <w:t>9</w:t>
            </w:r>
          </w:p>
        </w:tc>
        <w:tc>
          <w:tcPr>
            <w:tcW w:w="5033" w:type="dxa"/>
            <w:tcBorders>
              <w:top w:val="single" w:color="auto" w:sz="4" w:space="0"/>
              <w:left w:val="single" w:color="auto" w:sz="4" w:space="0"/>
              <w:right w:val="single" w:color="auto" w:sz="4" w:space="0"/>
            </w:tcBorders>
            <w:vAlign w:val="center"/>
          </w:tcPr>
          <w:p w14:paraId="3E6C7FC0">
            <w:pPr>
              <w:adjustRightInd w:val="0"/>
              <w:snapToGrid w:val="0"/>
              <w:spacing w:line="400" w:lineRule="exact"/>
              <w:jc w:val="left"/>
              <w:rPr>
                <w:lang w:val="zh-CN"/>
              </w:rPr>
            </w:pPr>
            <w:r>
              <w:rPr>
                <w:rFonts w:hint="eastAsia"/>
                <w:lang w:val="zh-CN"/>
              </w:rPr>
              <w:t>资金到位后一年内完成</w:t>
            </w:r>
          </w:p>
        </w:tc>
        <w:tc>
          <w:tcPr>
            <w:tcW w:w="1554" w:type="dxa"/>
            <w:tcBorders>
              <w:top w:val="single" w:color="auto" w:sz="4" w:space="0"/>
              <w:left w:val="single" w:color="auto" w:sz="4" w:space="0"/>
              <w:right w:val="single" w:color="auto" w:sz="4" w:space="0"/>
            </w:tcBorders>
            <w:vAlign w:val="center"/>
          </w:tcPr>
          <w:p w14:paraId="7F0E8564">
            <w:pPr>
              <w:adjustRightInd w:val="0"/>
              <w:snapToGrid w:val="0"/>
              <w:spacing w:line="400" w:lineRule="exact"/>
              <w:jc w:val="center"/>
              <w:rPr>
                <w:lang w:val="zh-CN"/>
              </w:rPr>
            </w:pPr>
            <w:r>
              <w:rPr>
                <w:rFonts w:hint="eastAsia"/>
                <w:lang w:val="zh-CN"/>
              </w:rPr>
              <w:t>1</w:t>
            </w:r>
          </w:p>
        </w:tc>
        <w:tc>
          <w:tcPr>
            <w:tcW w:w="1559" w:type="dxa"/>
            <w:tcBorders>
              <w:top w:val="single" w:color="auto" w:sz="4" w:space="0"/>
              <w:left w:val="single" w:color="auto" w:sz="4" w:space="0"/>
              <w:right w:val="single" w:color="auto" w:sz="4" w:space="0"/>
            </w:tcBorders>
            <w:vAlign w:val="center"/>
          </w:tcPr>
          <w:p w14:paraId="4814C926">
            <w:pPr>
              <w:adjustRightInd w:val="0"/>
              <w:snapToGrid w:val="0"/>
              <w:spacing w:line="400" w:lineRule="exact"/>
              <w:jc w:val="center"/>
              <w:rPr>
                <w:lang w:val="zh-CN"/>
              </w:rPr>
            </w:pPr>
            <w:r>
              <w:rPr>
                <w:rFonts w:hint="eastAsia"/>
              </w:rPr>
              <w:t>1</w:t>
            </w:r>
          </w:p>
        </w:tc>
      </w:tr>
      <w:tr w14:paraId="093C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7D452919">
            <w:pPr>
              <w:adjustRightInd w:val="0"/>
              <w:snapToGrid w:val="0"/>
              <w:spacing w:line="400" w:lineRule="exact"/>
              <w:jc w:val="center"/>
              <w:rPr>
                <w:lang w:val="zh-CN"/>
              </w:rPr>
            </w:pPr>
            <w:r>
              <w:rPr>
                <w:rFonts w:hint="eastAsia"/>
                <w:lang w:val="zh-CN"/>
              </w:rPr>
              <w:t>10</w:t>
            </w:r>
          </w:p>
        </w:tc>
        <w:tc>
          <w:tcPr>
            <w:tcW w:w="5033" w:type="dxa"/>
            <w:tcBorders>
              <w:top w:val="single" w:color="auto" w:sz="4" w:space="0"/>
              <w:left w:val="single" w:color="auto" w:sz="4" w:space="0"/>
              <w:right w:val="single" w:color="auto" w:sz="4" w:space="0"/>
            </w:tcBorders>
            <w:vAlign w:val="center"/>
          </w:tcPr>
          <w:p w14:paraId="27F7852F">
            <w:pPr>
              <w:adjustRightInd w:val="0"/>
              <w:snapToGrid w:val="0"/>
              <w:spacing w:line="400" w:lineRule="exact"/>
              <w:jc w:val="left"/>
              <w:rPr>
                <w:lang w:val="zh-CN"/>
              </w:rPr>
            </w:pPr>
            <w:r>
              <w:rPr>
                <w:rFonts w:hint="eastAsia"/>
                <w:lang w:val="zh-CN"/>
              </w:rPr>
              <w:t>节水减肥，减少农药施用量，节本增效促进产业发展，提产增收</w:t>
            </w:r>
          </w:p>
        </w:tc>
        <w:tc>
          <w:tcPr>
            <w:tcW w:w="1554" w:type="dxa"/>
            <w:tcBorders>
              <w:top w:val="single" w:color="auto" w:sz="4" w:space="0"/>
              <w:left w:val="single" w:color="auto" w:sz="4" w:space="0"/>
              <w:right w:val="single" w:color="auto" w:sz="4" w:space="0"/>
            </w:tcBorders>
            <w:vAlign w:val="center"/>
          </w:tcPr>
          <w:p w14:paraId="11109872">
            <w:pPr>
              <w:adjustRightInd w:val="0"/>
              <w:snapToGrid w:val="0"/>
              <w:spacing w:line="400" w:lineRule="exact"/>
              <w:jc w:val="center"/>
              <w:rPr>
                <w:lang w:val="zh-CN"/>
              </w:rPr>
            </w:pPr>
            <w:r>
              <w:rPr>
                <w:rFonts w:hint="eastAsia"/>
                <w:lang w:val="zh-CN"/>
              </w:rPr>
              <w:t>节本增收</w:t>
            </w:r>
          </w:p>
        </w:tc>
        <w:tc>
          <w:tcPr>
            <w:tcW w:w="1559" w:type="dxa"/>
            <w:tcBorders>
              <w:top w:val="single" w:color="auto" w:sz="4" w:space="0"/>
              <w:left w:val="single" w:color="auto" w:sz="4" w:space="0"/>
              <w:right w:val="single" w:color="auto" w:sz="4" w:space="0"/>
            </w:tcBorders>
            <w:vAlign w:val="center"/>
          </w:tcPr>
          <w:p w14:paraId="4C30EF78">
            <w:pPr>
              <w:adjustRightInd w:val="0"/>
              <w:snapToGrid w:val="0"/>
              <w:spacing w:line="400" w:lineRule="exact"/>
              <w:jc w:val="center"/>
              <w:rPr>
                <w:lang w:val="zh-CN"/>
              </w:rPr>
            </w:pPr>
            <w:r>
              <w:rPr>
                <w:rFonts w:hint="eastAsia"/>
              </w:rPr>
              <w:t>节本增收</w:t>
            </w:r>
          </w:p>
        </w:tc>
      </w:tr>
      <w:tr w14:paraId="3983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2E670AB0">
            <w:pPr>
              <w:adjustRightInd w:val="0"/>
              <w:snapToGrid w:val="0"/>
              <w:spacing w:line="400" w:lineRule="exact"/>
              <w:jc w:val="center"/>
              <w:rPr>
                <w:lang w:val="zh-CN"/>
              </w:rPr>
            </w:pPr>
            <w:r>
              <w:rPr>
                <w:rFonts w:hint="eastAsia"/>
                <w:lang w:val="zh-CN"/>
              </w:rPr>
              <w:t>11</w:t>
            </w:r>
          </w:p>
        </w:tc>
        <w:tc>
          <w:tcPr>
            <w:tcW w:w="5033" w:type="dxa"/>
            <w:tcBorders>
              <w:top w:val="single" w:color="auto" w:sz="4" w:space="0"/>
              <w:left w:val="single" w:color="auto" w:sz="4" w:space="0"/>
              <w:right w:val="single" w:color="auto" w:sz="4" w:space="0"/>
            </w:tcBorders>
            <w:vAlign w:val="center"/>
          </w:tcPr>
          <w:p w14:paraId="3DFFAC80">
            <w:pPr>
              <w:adjustRightInd w:val="0"/>
              <w:snapToGrid w:val="0"/>
              <w:spacing w:line="400" w:lineRule="exact"/>
              <w:jc w:val="left"/>
              <w:rPr>
                <w:lang w:val="zh-CN"/>
              </w:rPr>
            </w:pPr>
            <w:r>
              <w:rPr>
                <w:rFonts w:hint="eastAsia"/>
                <w:lang w:val="zh-CN"/>
              </w:rPr>
              <w:t>加大科技成果转化、人才培养，促进芒果产业的可持续发展</w:t>
            </w:r>
          </w:p>
        </w:tc>
        <w:tc>
          <w:tcPr>
            <w:tcW w:w="1554" w:type="dxa"/>
            <w:tcBorders>
              <w:top w:val="single" w:color="auto" w:sz="4" w:space="0"/>
              <w:left w:val="single" w:color="auto" w:sz="4" w:space="0"/>
              <w:right w:val="single" w:color="auto" w:sz="4" w:space="0"/>
            </w:tcBorders>
            <w:vAlign w:val="center"/>
          </w:tcPr>
          <w:p w14:paraId="3CC807AF">
            <w:pPr>
              <w:adjustRightInd w:val="0"/>
              <w:snapToGrid w:val="0"/>
              <w:spacing w:line="400" w:lineRule="exact"/>
              <w:jc w:val="center"/>
              <w:rPr>
                <w:lang w:val="zh-CN"/>
              </w:rPr>
            </w:pPr>
            <w:r>
              <w:rPr>
                <w:rFonts w:hint="eastAsia"/>
                <w:lang w:val="zh-CN"/>
              </w:rPr>
              <w:t>可持续</w:t>
            </w:r>
          </w:p>
        </w:tc>
        <w:tc>
          <w:tcPr>
            <w:tcW w:w="1559" w:type="dxa"/>
            <w:tcBorders>
              <w:top w:val="single" w:color="auto" w:sz="4" w:space="0"/>
              <w:left w:val="single" w:color="auto" w:sz="4" w:space="0"/>
              <w:right w:val="single" w:color="auto" w:sz="4" w:space="0"/>
            </w:tcBorders>
            <w:vAlign w:val="center"/>
          </w:tcPr>
          <w:p w14:paraId="2AAEC197">
            <w:pPr>
              <w:adjustRightInd w:val="0"/>
              <w:snapToGrid w:val="0"/>
              <w:spacing w:line="400" w:lineRule="exact"/>
              <w:jc w:val="center"/>
              <w:rPr>
                <w:lang w:val="zh-CN"/>
              </w:rPr>
            </w:pPr>
            <w:r>
              <w:rPr>
                <w:rFonts w:hint="eastAsia"/>
              </w:rPr>
              <w:t>可持续</w:t>
            </w:r>
          </w:p>
        </w:tc>
      </w:tr>
      <w:tr w14:paraId="20F9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57B157B7">
            <w:pPr>
              <w:adjustRightInd w:val="0"/>
              <w:snapToGrid w:val="0"/>
              <w:spacing w:line="400" w:lineRule="exact"/>
              <w:jc w:val="center"/>
              <w:rPr>
                <w:lang w:val="zh-CN"/>
              </w:rPr>
            </w:pPr>
            <w:r>
              <w:rPr>
                <w:rFonts w:hint="eastAsia"/>
                <w:lang w:val="zh-CN"/>
              </w:rPr>
              <w:t>12</w:t>
            </w:r>
          </w:p>
        </w:tc>
        <w:tc>
          <w:tcPr>
            <w:tcW w:w="5033" w:type="dxa"/>
            <w:tcBorders>
              <w:top w:val="single" w:color="auto" w:sz="4" w:space="0"/>
              <w:left w:val="single" w:color="auto" w:sz="4" w:space="0"/>
              <w:right w:val="single" w:color="auto" w:sz="4" w:space="0"/>
            </w:tcBorders>
            <w:vAlign w:val="center"/>
          </w:tcPr>
          <w:p w14:paraId="3CC35E27">
            <w:pPr>
              <w:adjustRightInd w:val="0"/>
              <w:snapToGrid w:val="0"/>
              <w:spacing w:line="400" w:lineRule="exact"/>
              <w:jc w:val="left"/>
              <w:rPr>
                <w:lang w:val="zh-CN"/>
              </w:rPr>
            </w:pPr>
            <w:r>
              <w:rPr>
                <w:rFonts w:hint="eastAsia"/>
                <w:lang w:val="zh-CN"/>
              </w:rPr>
              <w:t>促进产业低碳、绿色、循环、资源高效发展</w:t>
            </w:r>
          </w:p>
        </w:tc>
        <w:tc>
          <w:tcPr>
            <w:tcW w:w="1554" w:type="dxa"/>
            <w:tcBorders>
              <w:top w:val="single" w:color="auto" w:sz="4" w:space="0"/>
              <w:left w:val="single" w:color="auto" w:sz="4" w:space="0"/>
              <w:right w:val="single" w:color="auto" w:sz="4" w:space="0"/>
            </w:tcBorders>
            <w:vAlign w:val="center"/>
          </w:tcPr>
          <w:p w14:paraId="6908F809">
            <w:pPr>
              <w:adjustRightInd w:val="0"/>
              <w:snapToGrid w:val="0"/>
              <w:spacing w:line="400" w:lineRule="exact"/>
              <w:jc w:val="center"/>
              <w:rPr>
                <w:lang w:val="zh-CN"/>
              </w:rPr>
            </w:pPr>
            <w:r>
              <w:rPr>
                <w:rFonts w:hint="eastAsia"/>
                <w:lang w:val="zh-CN"/>
              </w:rPr>
              <w:t>可持续</w:t>
            </w:r>
          </w:p>
        </w:tc>
        <w:tc>
          <w:tcPr>
            <w:tcW w:w="1559" w:type="dxa"/>
            <w:tcBorders>
              <w:top w:val="single" w:color="auto" w:sz="4" w:space="0"/>
              <w:left w:val="single" w:color="auto" w:sz="4" w:space="0"/>
              <w:right w:val="single" w:color="auto" w:sz="4" w:space="0"/>
            </w:tcBorders>
            <w:vAlign w:val="center"/>
          </w:tcPr>
          <w:p w14:paraId="20C20EF5">
            <w:pPr>
              <w:adjustRightInd w:val="0"/>
              <w:snapToGrid w:val="0"/>
              <w:spacing w:line="400" w:lineRule="exact"/>
              <w:jc w:val="center"/>
              <w:rPr>
                <w:lang w:val="zh-CN"/>
              </w:rPr>
            </w:pPr>
            <w:r>
              <w:rPr>
                <w:rFonts w:hint="eastAsia"/>
              </w:rPr>
              <w:t>可持续</w:t>
            </w:r>
          </w:p>
        </w:tc>
      </w:tr>
      <w:tr w14:paraId="5CC4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tcBorders>
              <w:top w:val="single" w:color="auto" w:sz="4" w:space="0"/>
              <w:left w:val="single" w:color="auto" w:sz="4" w:space="0"/>
              <w:right w:val="single" w:color="auto" w:sz="4" w:space="0"/>
            </w:tcBorders>
            <w:vAlign w:val="center"/>
          </w:tcPr>
          <w:p w14:paraId="2885D8B5">
            <w:pPr>
              <w:adjustRightInd w:val="0"/>
              <w:snapToGrid w:val="0"/>
              <w:spacing w:line="400" w:lineRule="exact"/>
              <w:jc w:val="center"/>
              <w:rPr>
                <w:lang w:val="zh-CN"/>
              </w:rPr>
            </w:pPr>
            <w:r>
              <w:rPr>
                <w:rFonts w:hint="eastAsia"/>
                <w:lang w:val="zh-CN"/>
              </w:rPr>
              <w:t>13</w:t>
            </w:r>
          </w:p>
        </w:tc>
        <w:tc>
          <w:tcPr>
            <w:tcW w:w="5033" w:type="dxa"/>
            <w:tcBorders>
              <w:top w:val="single" w:color="auto" w:sz="4" w:space="0"/>
              <w:left w:val="single" w:color="auto" w:sz="4" w:space="0"/>
              <w:right w:val="single" w:color="auto" w:sz="4" w:space="0"/>
            </w:tcBorders>
            <w:vAlign w:val="center"/>
          </w:tcPr>
          <w:p w14:paraId="35A9894F">
            <w:pPr>
              <w:widowControl/>
              <w:jc w:val="left"/>
              <w:rPr>
                <w:lang w:val="zh-CN"/>
              </w:rPr>
            </w:pPr>
            <w:r>
              <w:rPr>
                <w:rFonts w:hint="eastAsia"/>
                <w:lang w:val="zh-CN"/>
              </w:rPr>
              <w:t>农户满意度</w:t>
            </w:r>
          </w:p>
        </w:tc>
        <w:tc>
          <w:tcPr>
            <w:tcW w:w="1554" w:type="dxa"/>
            <w:tcBorders>
              <w:top w:val="single" w:color="auto" w:sz="4" w:space="0"/>
              <w:left w:val="single" w:color="auto" w:sz="4" w:space="0"/>
              <w:right w:val="single" w:color="auto" w:sz="4" w:space="0"/>
            </w:tcBorders>
            <w:vAlign w:val="center"/>
          </w:tcPr>
          <w:p w14:paraId="17717EC5">
            <w:pPr>
              <w:adjustRightInd w:val="0"/>
              <w:snapToGrid w:val="0"/>
              <w:spacing w:line="400" w:lineRule="exact"/>
              <w:jc w:val="center"/>
              <w:rPr>
                <w:lang w:val="zh-CN"/>
              </w:rPr>
            </w:pPr>
            <w:r>
              <w:rPr>
                <w:rFonts w:hint="eastAsia"/>
                <w:lang w:val="zh-CN"/>
              </w:rPr>
              <w:t>95</w:t>
            </w:r>
          </w:p>
        </w:tc>
        <w:tc>
          <w:tcPr>
            <w:tcW w:w="1559" w:type="dxa"/>
            <w:tcBorders>
              <w:top w:val="single" w:color="auto" w:sz="4" w:space="0"/>
              <w:left w:val="single" w:color="auto" w:sz="4" w:space="0"/>
              <w:right w:val="single" w:color="auto" w:sz="4" w:space="0"/>
            </w:tcBorders>
            <w:vAlign w:val="center"/>
          </w:tcPr>
          <w:p w14:paraId="0CEDABD9">
            <w:pPr>
              <w:adjustRightInd w:val="0"/>
              <w:snapToGrid w:val="0"/>
              <w:spacing w:line="400" w:lineRule="exact"/>
              <w:jc w:val="center"/>
              <w:rPr>
                <w:lang w:val="zh-CN"/>
              </w:rPr>
            </w:pPr>
            <w:r>
              <w:rPr>
                <w:rFonts w:hint="eastAsia"/>
              </w:rPr>
              <w:t>98</w:t>
            </w:r>
          </w:p>
        </w:tc>
      </w:tr>
    </w:tbl>
    <w:p w14:paraId="5B21A2FB">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1A9EF724">
      <w:pPr>
        <w:numPr>
          <w:ilvl w:val="0"/>
          <w:numId w:val="8"/>
        </w:numPr>
        <w:spacing w:line="578" w:lineRule="exact"/>
        <w:rPr>
          <w:rFonts w:eastAsia="仿宋_GB2312" w:cs="仿宋_GB2312"/>
          <w:b/>
          <w:kern w:val="0"/>
          <w:sz w:val="32"/>
          <w:szCs w:val="32"/>
        </w:rPr>
      </w:pPr>
      <w:r>
        <w:rPr>
          <w:rFonts w:eastAsia="仿宋_GB2312" w:cs="仿宋_GB2312"/>
          <w:b/>
          <w:kern w:val="0"/>
          <w:sz w:val="32"/>
          <w:szCs w:val="32"/>
        </w:rPr>
        <w:t>经济效益</w:t>
      </w:r>
    </w:p>
    <w:p w14:paraId="500D5D60">
      <w:pPr>
        <w:spacing w:line="578" w:lineRule="exact"/>
        <w:ind w:firstLine="640"/>
        <w:rPr>
          <w:rFonts w:eastAsia="仿宋_GB2312" w:cs="仿宋_GB2312"/>
          <w:kern w:val="0"/>
          <w:sz w:val="32"/>
          <w:szCs w:val="32"/>
        </w:rPr>
      </w:pPr>
      <w:r>
        <w:rPr>
          <w:rFonts w:hint="eastAsia" w:eastAsia="仿宋_GB2312" w:cs="仿宋_GB2312"/>
          <w:kern w:val="0"/>
          <w:sz w:val="32"/>
          <w:szCs w:val="32"/>
        </w:rPr>
        <w:t>通过培育优质、高产、抗病虫害的蔬菜、芒果新品种和配套研发蔬菜、芒果和食用菌种植技术，提高攀枝花果蔬的种植技术水平和机械化操作水平，减少农产品的生产成本，推动农业助力共同富裕试验区建设。</w:t>
      </w:r>
    </w:p>
    <w:p w14:paraId="04721558">
      <w:pPr>
        <w:numPr>
          <w:ilvl w:val="0"/>
          <w:numId w:val="8"/>
        </w:numPr>
        <w:spacing w:line="578" w:lineRule="exact"/>
        <w:rPr>
          <w:rFonts w:eastAsia="仿宋_GB2312" w:cs="仿宋_GB2312"/>
          <w:b/>
          <w:kern w:val="0"/>
          <w:sz w:val="32"/>
          <w:szCs w:val="32"/>
        </w:rPr>
      </w:pPr>
      <w:r>
        <w:rPr>
          <w:rFonts w:eastAsia="仿宋_GB2312" w:cs="仿宋_GB2312"/>
          <w:b/>
          <w:kern w:val="0"/>
          <w:sz w:val="32"/>
          <w:szCs w:val="32"/>
        </w:rPr>
        <w:t>社会效益</w:t>
      </w:r>
    </w:p>
    <w:p w14:paraId="4948E313">
      <w:pPr>
        <w:spacing w:line="578" w:lineRule="exact"/>
        <w:ind w:firstLine="640"/>
        <w:rPr>
          <w:rFonts w:eastAsia="仿宋_GB2312" w:cs="仿宋_GB2312"/>
          <w:kern w:val="0"/>
          <w:sz w:val="32"/>
          <w:szCs w:val="32"/>
        </w:rPr>
      </w:pPr>
      <w:r>
        <w:rPr>
          <w:rFonts w:hint="eastAsia" w:eastAsia="仿宋_GB2312" w:cs="仿宋_GB2312"/>
          <w:kern w:val="0"/>
          <w:sz w:val="32"/>
          <w:szCs w:val="32"/>
        </w:rPr>
        <w:t>通过研发芒果、蔬菜病虫害绿色综合防控技术，提高</w:t>
      </w:r>
      <w:r>
        <w:rPr>
          <w:rFonts w:eastAsia="仿宋_GB2312" w:cs="仿宋_GB2312"/>
          <w:kern w:val="0"/>
          <w:sz w:val="32"/>
          <w:szCs w:val="32"/>
        </w:rPr>
        <w:t>农</w:t>
      </w:r>
      <w:r>
        <w:rPr>
          <w:rFonts w:hint="eastAsia" w:eastAsia="仿宋_GB2312" w:cs="仿宋_GB2312"/>
          <w:kern w:val="0"/>
          <w:sz w:val="32"/>
          <w:szCs w:val="32"/>
        </w:rPr>
        <w:t>产品的品质，</w:t>
      </w:r>
      <w:r>
        <w:rPr>
          <w:rFonts w:eastAsia="仿宋_GB2312" w:cs="仿宋_GB2312"/>
          <w:kern w:val="0"/>
          <w:sz w:val="32"/>
          <w:szCs w:val="32"/>
        </w:rPr>
        <w:t>增强</w:t>
      </w:r>
      <w:r>
        <w:rPr>
          <w:rFonts w:hint="eastAsia" w:eastAsia="仿宋_GB2312" w:cs="仿宋_GB2312"/>
          <w:kern w:val="0"/>
          <w:sz w:val="32"/>
          <w:szCs w:val="32"/>
        </w:rPr>
        <w:t>种植户</w:t>
      </w:r>
      <w:r>
        <w:rPr>
          <w:rFonts w:eastAsia="仿宋_GB2312" w:cs="仿宋_GB2312"/>
          <w:kern w:val="0"/>
          <w:sz w:val="32"/>
          <w:szCs w:val="32"/>
        </w:rPr>
        <w:t>防疫意识</w:t>
      </w:r>
      <w:r>
        <w:rPr>
          <w:rFonts w:hint="eastAsia" w:eastAsia="仿宋_GB2312" w:cs="仿宋_GB2312"/>
          <w:kern w:val="0"/>
          <w:sz w:val="32"/>
          <w:szCs w:val="32"/>
        </w:rPr>
        <w:t>、</w:t>
      </w:r>
      <w:r>
        <w:rPr>
          <w:rFonts w:eastAsia="仿宋_GB2312" w:cs="仿宋_GB2312"/>
          <w:kern w:val="0"/>
          <w:sz w:val="32"/>
          <w:szCs w:val="32"/>
        </w:rPr>
        <w:t>环保意识</w:t>
      </w:r>
      <w:r>
        <w:rPr>
          <w:rFonts w:hint="eastAsia" w:eastAsia="仿宋_GB2312" w:cs="仿宋_GB2312"/>
          <w:kern w:val="0"/>
          <w:sz w:val="32"/>
          <w:szCs w:val="32"/>
        </w:rPr>
        <w:t>和社会责任感</w:t>
      </w:r>
      <w:r>
        <w:rPr>
          <w:rFonts w:eastAsia="仿宋_GB2312" w:cs="仿宋_GB2312"/>
          <w:kern w:val="0"/>
          <w:sz w:val="32"/>
          <w:szCs w:val="32"/>
        </w:rPr>
        <w:t>，促进</w:t>
      </w:r>
      <w:r>
        <w:rPr>
          <w:rFonts w:hint="eastAsia" w:eastAsia="仿宋_GB2312" w:cs="仿宋_GB2312"/>
          <w:kern w:val="0"/>
          <w:sz w:val="32"/>
          <w:szCs w:val="32"/>
        </w:rPr>
        <w:t>我省南亚热带作物产业</w:t>
      </w:r>
      <w:r>
        <w:rPr>
          <w:rFonts w:eastAsia="仿宋_GB2312" w:cs="仿宋_GB2312"/>
          <w:kern w:val="0"/>
          <w:sz w:val="32"/>
          <w:szCs w:val="32"/>
        </w:rPr>
        <w:t>绿色发展。</w:t>
      </w:r>
    </w:p>
    <w:p w14:paraId="48541E2E">
      <w:pPr>
        <w:numPr>
          <w:ilvl w:val="0"/>
          <w:numId w:val="8"/>
        </w:numPr>
        <w:spacing w:line="578" w:lineRule="exact"/>
        <w:rPr>
          <w:rFonts w:eastAsia="仿宋_GB2312" w:cs="仿宋_GB2312"/>
          <w:b/>
          <w:kern w:val="0"/>
          <w:sz w:val="32"/>
          <w:szCs w:val="32"/>
        </w:rPr>
      </w:pPr>
      <w:r>
        <w:rPr>
          <w:rFonts w:eastAsia="仿宋_GB2312" w:cs="仿宋_GB2312"/>
          <w:b/>
          <w:kern w:val="0"/>
          <w:sz w:val="32"/>
          <w:szCs w:val="32"/>
        </w:rPr>
        <w:t>生态效益</w:t>
      </w:r>
    </w:p>
    <w:p w14:paraId="70DC786A">
      <w:pPr>
        <w:spacing w:line="578" w:lineRule="exact"/>
        <w:ind w:firstLine="640"/>
        <w:rPr>
          <w:rFonts w:eastAsia="仿宋_GB2312" w:cs="仿宋_GB2312"/>
          <w:kern w:val="0"/>
          <w:sz w:val="32"/>
          <w:szCs w:val="32"/>
        </w:rPr>
      </w:pPr>
      <w:r>
        <w:rPr>
          <w:rFonts w:hint="eastAsia" w:eastAsia="仿宋_GB2312" w:cs="仿宋_GB2312"/>
          <w:kern w:val="0"/>
          <w:sz w:val="32"/>
          <w:szCs w:val="32"/>
        </w:rPr>
        <w:t>通过培育抗性较强的蔬菜、芒果品种和研发先进的种植技术，</w:t>
      </w:r>
      <w:r>
        <w:rPr>
          <w:rFonts w:eastAsia="仿宋_GB2312" w:cs="仿宋_GB2312"/>
          <w:kern w:val="0"/>
          <w:sz w:val="32"/>
          <w:szCs w:val="32"/>
        </w:rPr>
        <w:t>将减少化学农药的</w:t>
      </w:r>
      <w:r>
        <w:rPr>
          <w:rFonts w:hint="eastAsia" w:eastAsia="仿宋_GB2312" w:cs="仿宋_GB2312"/>
          <w:kern w:val="0"/>
          <w:sz w:val="32"/>
          <w:szCs w:val="32"/>
        </w:rPr>
        <w:t>投入和降低对水分或养分需求</w:t>
      </w:r>
      <w:r>
        <w:rPr>
          <w:rFonts w:eastAsia="仿宋_GB2312" w:cs="仿宋_GB2312"/>
          <w:kern w:val="0"/>
          <w:sz w:val="32"/>
          <w:szCs w:val="32"/>
        </w:rPr>
        <w:t>，</w:t>
      </w:r>
      <w:r>
        <w:rPr>
          <w:rFonts w:hint="eastAsia" w:eastAsia="仿宋_GB2312" w:cs="仿宋_GB2312"/>
          <w:kern w:val="0"/>
          <w:sz w:val="32"/>
          <w:szCs w:val="32"/>
        </w:rPr>
        <w:t>有效避免土地退化，助力攀枝花矿山迹地生态修复。</w:t>
      </w:r>
    </w:p>
    <w:p w14:paraId="2AF389EC">
      <w:pPr>
        <w:numPr>
          <w:ilvl w:val="0"/>
          <w:numId w:val="8"/>
        </w:numPr>
        <w:spacing w:line="578" w:lineRule="exact"/>
        <w:rPr>
          <w:rFonts w:eastAsia="仿宋_GB2312" w:cs="仿宋_GB2312"/>
          <w:b/>
          <w:kern w:val="0"/>
          <w:sz w:val="32"/>
          <w:szCs w:val="32"/>
        </w:rPr>
      </w:pPr>
      <w:r>
        <w:rPr>
          <w:rFonts w:eastAsia="仿宋_GB2312" w:cs="仿宋_GB2312"/>
          <w:b/>
          <w:kern w:val="0"/>
          <w:sz w:val="32"/>
          <w:szCs w:val="32"/>
        </w:rPr>
        <w:t>服务对象满意度</w:t>
      </w:r>
    </w:p>
    <w:p w14:paraId="403C841C">
      <w:pPr>
        <w:spacing w:line="578" w:lineRule="exact"/>
        <w:ind w:firstLine="640"/>
        <w:rPr>
          <w:rFonts w:eastAsia="仿宋_GB2312" w:cs="仿宋_GB2312"/>
          <w:kern w:val="0"/>
          <w:sz w:val="32"/>
          <w:szCs w:val="32"/>
        </w:rPr>
      </w:pPr>
      <w:r>
        <w:rPr>
          <w:rFonts w:hint="eastAsia" w:eastAsia="仿宋_GB2312" w:cs="仿宋_GB2312"/>
          <w:kern w:val="0"/>
          <w:sz w:val="32"/>
          <w:szCs w:val="32"/>
        </w:rPr>
        <w:t>在米易县、盐边县和攀枝花市区随机选择本项目服务过的村、镇，开展不记名满意度调查，经过数据汇总与分析，本年度服务对象满意度为9</w:t>
      </w:r>
      <w:r>
        <w:rPr>
          <w:rFonts w:eastAsia="仿宋_GB2312" w:cs="仿宋_GB2312"/>
          <w:kern w:val="0"/>
          <w:sz w:val="32"/>
          <w:szCs w:val="32"/>
        </w:rPr>
        <w:t>8</w:t>
      </w:r>
      <w:r>
        <w:rPr>
          <w:rFonts w:hint="eastAsia" w:eastAsia="仿宋_GB2312" w:cs="仿宋_GB2312"/>
          <w:kern w:val="0"/>
          <w:sz w:val="32"/>
          <w:szCs w:val="32"/>
        </w:rPr>
        <w:t>%。</w:t>
      </w:r>
    </w:p>
    <w:p w14:paraId="0398937B">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74D78486">
      <w:pPr>
        <w:spacing w:line="578" w:lineRule="exact"/>
        <w:ind w:firstLine="640"/>
        <w:rPr>
          <w:rFonts w:eastAsia="仿宋_GB2312" w:cs="仿宋_GB2312"/>
          <w:kern w:val="0"/>
          <w:sz w:val="32"/>
          <w:szCs w:val="32"/>
        </w:rPr>
      </w:pPr>
      <w:r>
        <w:rPr>
          <w:rFonts w:eastAsia="仿宋_GB2312" w:cs="仿宋_GB2312"/>
          <w:b/>
          <w:kern w:val="0"/>
          <w:sz w:val="32"/>
          <w:szCs w:val="32"/>
        </w:rPr>
        <w:t>（一）评价结论。</w:t>
      </w:r>
    </w:p>
    <w:p w14:paraId="63178DB9">
      <w:pPr>
        <w:spacing w:line="578" w:lineRule="exact"/>
        <w:ind w:firstLine="640"/>
        <w:rPr>
          <w:rFonts w:eastAsia="仿宋_GB2312" w:cs="仿宋_GB2312"/>
          <w:kern w:val="0"/>
          <w:sz w:val="32"/>
          <w:szCs w:val="32"/>
        </w:rPr>
      </w:pPr>
      <w:r>
        <w:rPr>
          <w:rFonts w:hint="eastAsia" w:eastAsia="仿宋_GB2312" w:cs="仿宋_GB2312"/>
          <w:kern w:val="0"/>
          <w:sz w:val="32"/>
          <w:szCs w:val="32"/>
        </w:rPr>
        <w:t>项目自评总分为</w:t>
      </w:r>
      <w:r>
        <w:rPr>
          <w:rFonts w:eastAsia="仿宋_GB2312" w:cs="仿宋_GB2312"/>
          <w:kern w:val="0"/>
          <w:sz w:val="32"/>
          <w:szCs w:val="32"/>
        </w:rPr>
        <w:t>99.83</w:t>
      </w:r>
      <w:r>
        <w:rPr>
          <w:rFonts w:hint="eastAsia" w:eastAsia="仿宋_GB2312" w:cs="仿宋_GB2312"/>
          <w:kern w:val="0"/>
          <w:sz w:val="32"/>
          <w:szCs w:val="32"/>
        </w:rPr>
        <w:t>，</w:t>
      </w:r>
      <w:r>
        <w:rPr>
          <w:rFonts w:eastAsia="仿宋_GB2312" w:cs="仿宋_GB2312"/>
          <w:kern w:val="0"/>
          <w:sz w:val="32"/>
          <w:szCs w:val="32"/>
        </w:rPr>
        <w:t>项目</w:t>
      </w:r>
      <w:r>
        <w:rPr>
          <w:rFonts w:hint="eastAsia" w:eastAsia="仿宋_GB2312" w:cs="仿宋_GB2312"/>
          <w:kern w:val="0"/>
          <w:sz w:val="32"/>
          <w:szCs w:val="32"/>
        </w:rPr>
        <w:t>规划与</w:t>
      </w:r>
      <w:r>
        <w:rPr>
          <w:rFonts w:eastAsia="仿宋_GB2312" w:cs="仿宋_GB2312"/>
          <w:kern w:val="0"/>
          <w:sz w:val="32"/>
          <w:szCs w:val="32"/>
        </w:rPr>
        <w:t>攀枝花“3+2”发展定位以及全市“一三三三”总体发展战略目标</w:t>
      </w:r>
      <w:r>
        <w:rPr>
          <w:rFonts w:hint="eastAsia" w:eastAsia="仿宋_GB2312" w:cs="仿宋_GB2312"/>
          <w:kern w:val="0"/>
          <w:sz w:val="32"/>
          <w:szCs w:val="32"/>
        </w:rPr>
        <w:t>，全力打造</w:t>
      </w:r>
      <w:r>
        <w:rPr>
          <w:rFonts w:eastAsia="仿宋_GB2312" w:cs="仿宋_GB2312"/>
          <w:kern w:val="0"/>
          <w:sz w:val="32"/>
          <w:szCs w:val="32"/>
        </w:rPr>
        <w:t>“天府第二粮仓”建设和共同富裕试验区的创建工作</w:t>
      </w:r>
      <w:r>
        <w:rPr>
          <w:rFonts w:hint="eastAsia" w:eastAsia="仿宋_GB2312" w:cs="仿宋_GB2312"/>
          <w:kern w:val="0"/>
          <w:sz w:val="32"/>
          <w:szCs w:val="32"/>
        </w:rPr>
        <w:t>高度契合</w:t>
      </w:r>
      <w:r>
        <w:rPr>
          <w:rFonts w:eastAsia="仿宋_GB2312" w:cs="仿宋_GB2312"/>
          <w:kern w:val="0"/>
          <w:sz w:val="32"/>
          <w:szCs w:val="32"/>
        </w:rPr>
        <w:t>。项目资金分配合理</w:t>
      </w:r>
      <w:r>
        <w:rPr>
          <w:rFonts w:hint="eastAsia" w:eastAsia="仿宋_GB2312" w:cs="仿宋_GB2312"/>
          <w:kern w:val="0"/>
          <w:sz w:val="32"/>
          <w:szCs w:val="32"/>
        </w:rPr>
        <w:t>、公平</w:t>
      </w:r>
      <w:r>
        <w:rPr>
          <w:rFonts w:eastAsia="仿宋_GB2312" w:cs="仿宋_GB2312"/>
          <w:kern w:val="0"/>
          <w:sz w:val="32"/>
          <w:szCs w:val="32"/>
        </w:rPr>
        <w:t>合规</w:t>
      </w:r>
      <w:r>
        <w:rPr>
          <w:rFonts w:hint="eastAsia" w:eastAsia="仿宋_GB2312" w:cs="仿宋_GB2312"/>
          <w:kern w:val="0"/>
          <w:sz w:val="32"/>
          <w:szCs w:val="32"/>
        </w:rPr>
        <w:t>、执行有效、无违规使用项目资金现象发生</w:t>
      </w:r>
      <w:r>
        <w:rPr>
          <w:rFonts w:eastAsia="仿宋_GB2312" w:cs="仿宋_GB2312"/>
          <w:kern w:val="0"/>
          <w:sz w:val="32"/>
          <w:szCs w:val="32"/>
        </w:rPr>
        <w:t>，</w:t>
      </w:r>
      <w:r>
        <w:rPr>
          <w:rFonts w:hint="eastAsia" w:eastAsia="仿宋_GB2312" w:cs="仿宋_GB2312"/>
          <w:kern w:val="0"/>
          <w:sz w:val="32"/>
          <w:szCs w:val="32"/>
        </w:rPr>
        <w:t>通过开展引进新品种、</w:t>
      </w:r>
      <w:r>
        <w:rPr>
          <w:rFonts w:eastAsia="仿宋_GB2312" w:cs="仿宋_GB2312"/>
          <w:kern w:val="0"/>
          <w:sz w:val="32"/>
          <w:szCs w:val="32"/>
        </w:rPr>
        <w:t>新技术</w:t>
      </w:r>
      <w:r>
        <w:rPr>
          <w:rFonts w:hint="eastAsia" w:eastAsia="仿宋_GB2312" w:cs="仿宋_GB2312"/>
          <w:kern w:val="0"/>
          <w:sz w:val="32"/>
          <w:szCs w:val="32"/>
        </w:rPr>
        <w:t>、</w:t>
      </w:r>
      <w:r>
        <w:rPr>
          <w:rFonts w:eastAsia="仿宋_GB2312" w:cs="仿宋_GB2312"/>
          <w:kern w:val="0"/>
          <w:sz w:val="32"/>
          <w:szCs w:val="32"/>
        </w:rPr>
        <w:t>成果示范推广</w:t>
      </w:r>
      <w:r>
        <w:rPr>
          <w:rFonts w:hint="eastAsia" w:eastAsia="仿宋_GB2312" w:cs="仿宋_GB2312"/>
          <w:kern w:val="0"/>
          <w:sz w:val="32"/>
          <w:szCs w:val="32"/>
        </w:rPr>
        <w:t>、</w:t>
      </w:r>
      <w:r>
        <w:rPr>
          <w:rFonts w:eastAsia="仿宋_GB2312" w:cs="仿宋_GB2312"/>
          <w:kern w:val="0"/>
          <w:sz w:val="32"/>
          <w:szCs w:val="32"/>
        </w:rPr>
        <w:t>培训指导、人才培养和生产</w:t>
      </w:r>
      <w:r>
        <w:rPr>
          <w:rFonts w:hint="eastAsia" w:eastAsia="仿宋_GB2312" w:cs="仿宋_GB2312"/>
          <w:kern w:val="0"/>
          <w:sz w:val="32"/>
          <w:szCs w:val="32"/>
        </w:rPr>
        <w:t>督导</w:t>
      </w:r>
      <w:r>
        <w:rPr>
          <w:rFonts w:eastAsia="仿宋_GB2312" w:cs="仿宋_GB2312"/>
          <w:kern w:val="0"/>
          <w:sz w:val="32"/>
          <w:szCs w:val="32"/>
        </w:rPr>
        <w:t>等工作，圆满完成了</w:t>
      </w:r>
      <w:r>
        <w:rPr>
          <w:rFonts w:hint="eastAsia" w:eastAsia="仿宋_GB2312" w:cs="仿宋_GB2312"/>
          <w:kern w:val="0"/>
          <w:sz w:val="32"/>
          <w:szCs w:val="32"/>
        </w:rPr>
        <w:t>202</w:t>
      </w:r>
      <w:r>
        <w:rPr>
          <w:rFonts w:eastAsia="仿宋_GB2312" w:cs="仿宋_GB2312"/>
          <w:kern w:val="0"/>
          <w:sz w:val="32"/>
          <w:szCs w:val="32"/>
        </w:rPr>
        <w:t>5</w:t>
      </w:r>
      <w:r>
        <w:rPr>
          <w:rFonts w:hint="eastAsia" w:eastAsia="仿宋_GB2312" w:cs="仿宋_GB2312"/>
          <w:kern w:val="0"/>
          <w:sz w:val="32"/>
          <w:szCs w:val="32"/>
        </w:rPr>
        <w:t>年</w:t>
      </w:r>
      <w:r>
        <w:rPr>
          <w:rFonts w:eastAsia="仿宋_GB2312" w:cs="仿宋_GB2312"/>
          <w:kern w:val="0"/>
          <w:sz w:val="32"/>
          <w:szCs w:val="32"/>
        </w:rPr>
        <w:t>年度</w:t>
      </w:r>
      <w:r>
        <w:rPr>
          <w:rFonts w:hint="eastAsia" w:eastAsia="仿宋_GB2312" w:cs="仿宋_GB2312"/>
          <w:kern w:val="0"/>
          <w:sz w:val="32"/>
          <w:szCs w:val="32"/>
        </w:rPr>
        <w:t>绩效目标，</w:t>
      </w:r>
      <w:r>
        <w:rPr>
          <w:rFonts w:eastAsia="仿宋_GB2312" w:cs="仿宋_GB2312"/>
          <w:kern w:val="0"/>
          <w:sz w:val="32"/>
          <w:szCs w:val="32"/>
        </w:rPr>
        <w:t>大力推动南亚热带作物产业向省力化、转型和有机化转型，</w:t>
      </w:r>
      <w:r>
        <w:rPr>
          <w:rFonts w:hint="eastAsia" w:eastAsia="仿宋_GB2312" w:cs="仿宋_GB2312"/>
          <w:kern w:val="0"/>
          <w:sz w:val="32"/>
          <w:szCs w:val="32"/>
        </w:rPr>
        <w:t>着重</w:t>
      </w:r>
      <w:r>
        <w:rPr>
          <w:rFonts w:eastAsia="仿宋_GB2312" w:cs="仿宋_GB2312"/>
          <w:kern w:val="0"/>
          <w:sz w:val="32"/>
          <w:szCs w:val="32"/>
        </w:rPr>
        <w:t>推动</w:t>
      </w:r>
      <w:r>
        <w:rPr>
          <w:rFonts w:hint="eastAsia" w:eastAsia="仿宋_GB2312" w:cs="仿宋_GB2312"/>
          <w:kern w:val="0"/>
          <w:sz w:val="32"/>
          <w:szCs w:val="32"/>
        </w:rPr>
        <w:t>南亚热带作物</w:t>
      </w:r>
      <w:r>
        <w:rPr>
          <w:rFonts w:eastAsia="仿宋_GB2312" w:cs="仿宋_GB2312"/>
          <w:kern w:val="0"/>
          <w:sz w:val="32"/>
          <w:szCs w:val="32"/>
        </w:rPr>
        <w:t>产业链的全面发展，从而实现产业的提质增效。</w:t>
      </w:r>
    </w:p>
    <w:p w14:paraId="072BD073">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281E0052">
      <w:pPr>
        <w:spacing w:line="578" w:lineRule="exact"/>
        <w:ind w:firstLine="640"/>
        <w:rPr>
          <w:rFonts w:eastAsia="仿宋_GB2312" w:cs="仿宋_GB2312"/>
          <w:bCs/>
          <w:kern w:val="0"/>
          <w:sz w:val="32"/>
          <w:szCs w:val="32"/>
        </w:rPr>
      </w:pPr>
      <w:r>
        <w:rPr>
          <w:rFonts w:eastAsia="仿宋_GB2312" w:cs="仿宋_GB2312"/>
          <w:kern w:val="0"/>
          <w:sz w:val="32"/>
          <w:szCs w:val="32"/>
        </w:rPr>
        <w:t>部分产业示范县对</w:t>
      </w:r>
      <w:r>
        <w:rPr>
          <w:rFonts w:hint="eastAsia" w:eastAsia="仿宋_GB2312" w:cs="仿宋_GB2312"/>
          <w:kern w:val="0"/>
          <w:sz w:val="32"/>
          <w:szCs w:val="32"/>
        </w:rPr>
        <w:t>团队</w:t>
      </w:r>
      <w:r>
        <w:rPr>
          <w:rFonts w:eastAsia="仿宋_GB2312" w:cs="仿宋_GB2312"/>
          <w:kern w:val="0"/>
          <w:sz w:val="32"/>
          <w:szCs w:val="32"/>
        </w:rPr>
        <w:t>的重视程度与配合积极性不高，缺乏主动参与意识，导致出现“联而不动、接而不紧”的现象。由于沟通协调机制不够完善，新技术与成果在基地的转化应用滞后，数据反馈不及时，严重影响了示范工作的整体进度与辐射带动效能，亟需进一步强化多方联动机制。</w:t>
      </w:r>
    </w:p>
    <w:p w14:paraId="73E48872">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1F577E1A">
      <w:pPr>
        <w:spacing w:line="578" w:lineRule="exact"/>
        <w:ind w:firstLine="640"/>
        <w:rPr>
          <w:rFonts w:eastAsia="仿宋_GB2312" w:cs="仿宋_GB2312"/>
          <w:kern w:val="0"/>
          <w:sz w:val="32"/>
          <w:szCs w:val="32"/>
        </w:rPr>
      </w:pPr>
      <w:r>
        <w:rPr>
          <w:rFonts w:hint="eastAsia" w:eastAsia="仿宋_GB2312" w:cs="仿宋_GB2312"/>
          <w:kern w:val="0"/>
          <w:sz w:val="32"/>
          <w:szCs w:val="32"/>
        </w:rPr>
        <w:t>为进一步强化团队与示范县的协作紧密度，切实提升技术落地实效，建议优化现有考核体系：增设“产业成效”指标，分值设定为10分，列入年度绩效加分项。该指标由示范县行业主管部门直接进行考核，重点评价团队在当地的实际服务效果与产业带动情况。</w:t>
      </w:r>
    </w:p>
    <w:p w14:paraId="2E2FD105">
      <w:pPr>
        <w:spacing w:line="578" w:lineRule="exact"/>
        <w:ind w:firstLine="640"/>
        <w:jc w:val="center"/>
        <w:rPr>
          <w:rFonts w:ascii="方正小标宋简体" w:eastAsia="方正小标宋简体" w:cs="仿宋_GB2312"/>
          <w:kern w:val="0"/>
          <w:sz w:val="40"/>
          <w:szCs w:val="40"/>
        </w:rPr>
      </w:pPr>
    </w:p>
    <w:p w14:paraId="65966E64">
      <w:pPr>
        <w:spacing w:line="578" w:lineRule="exact"/>
        <w:ind w:firstLine="640"/>
        <w:jc w:val="center"/>
        <w:rPr>
          <w:rFonts w:ascii="方正小标宋简体" w:eastAsia="方正小标宋简体" w:cs="仿宋_GB2312"/>
          <w:kern w:val="0"/>
          <w:sz w:val="40"/>
          <w:szCs w:val="40"/>
        </w:rPr>
      </w:pPr>
    </w:p>
    <w:p w14:paraId="5DCBA318">
      <w:pPr>
        <w:spacing w:line="578" w:lineRule="exact"/>
        <w:ind w:firstLine="640"/>
        <w:jc w:val="center"/>
        <w:rPr>
          <w:rFonts w:ascii="方正小标宋简体" w:eastAsia="方正小标宋简体" w:cs="仿宋_GB2312"/>
          <w:kern w:val="0"/>
          <w:sz w:val="40"/>
          <w:szCs w:val="40"/>
        </w:rPr>
      </w:pPr>
      <w:r>
        <w:rPr>
          <w:rFonts w:ascii="方正小标宋简体" w:eastAsia="方正小标宋简体" w:cs="仿宋_GB2312"/>
          <w:kern w:val="0"/>
          <w:sz w:val="40"/>
          <w:szCs w:val="40"/>
        </w:rPr>
        <w:br w:type="page"/>
      </w:r>
    </w:p>
    <w:p w14:paraId="37C70B6E">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w:t>
      </w:r>
    </w:p>
    <w:p w14:paraId="7D6CDD53">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2025年科技下乡万里行项目</w:t>
      </w:r>
    </w:p>
    <w:p w14:paraId="4063F4B6">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1D2173F8">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2569F234">
      <w:pPr>
        <w:spacing w:line="578" w:lineRule="exact"/>
        <w:ind w:firstLine="640"/>
        <w:rPr>
          <w:rFonts w:eastAsia="仿宋_GB2312" w:cs="仿宋_GB2312"/>
          <w:b/>
          <w:kern w:val="0"/>
          <w:sz w:val="32"/>
          <w:szCs w:val="32"/>
        </w:rPr>
      </w:pPr>
      <w:r>
        <w:rPr>
          <w:rFonts w:hint="eastAsia" w:eastAsia="仿宋_GB2312" w:cs="仿宋_GB2312"/>
          <w:b/>
          <w:kern w:val="0"/>
          <w:sz w:val="32"/>
          <w:szCs w:val="32"/>
        </w:rPr>
        <w:t>1.设立背景</w:t>
      </w:r>
    </w:p>
    <w:p w14:paraId="5A398568">
      <w:pPr>
        <w:spacing w:line="578" w:lineRule="exact"/>
        <w:ind w:firstLine="640"/>
        <w:rPr>
          <w:rFonts w:eastAsia="仿宋_GB2312" w:cs="仿宋_GB2312"/>
          <w:kern w:val="0"/>
          <w:sz w:val="32"/>
          <w:szCs w:val="32"/>
        </w:rPr>
      </w:pPr>
      <w:r>
        <w:rPr>
          <w:rFonts w:hint="eastAsia" w:eastAsia="仿宋_GB2312" w:cs="仿宋_GB2312"/>
          <w:kern w:val="0"/>
          <w:sz w:val="32"/>
          <w:szCs w:val="32"/>
        </w:rPr>
        <w:t>蔬菜和芒果产业是攀枝花农业的主导产业。根据中央和省委关于乡村振兴的决策部署，围绕特色产业组建省市专家服务团，通过技术帮扶培养农村实用人才队伍，增强乡村振兴内生动力。项目资金来源为省级财政乡村振兴补助资金</w:t>
      </w:r>
      <w:r>
        <w:rPr>
          <w:rFonts w:eastAsia="仿宋_GB2312" w:cs="仿宋_GB2312"/>
          <w:kern w:val="0"/>
          <w:sz w:val="32"/>
          <w:szCs w:val="32"/>
        </w:rPr>
        <w:t>24</w:t>
      </w:r>
      <w:r>
        <w:rPr>
          <w:rFonts w:hint="eastAsia" w:eastAsia="仿宋_GB2312" w:cs="仿宋_GB2312"/>
          <w:kern w:val="0"/>
          <w:sz w:val="32"/>
          <w:szCs w:val="32"/>
        </w:rPr>
        <w:t>万元。</w:t>
      </w:r>
    </w:p>
    <w:p w14:paraId="4C306E5A">
      <w:pPr>
        <w:spacing w:line="578" w:lineRule="exact"/>
        <w:ind w:firstLine="640"/>
        <w:rPr>
          <w:rFonts w:eastAsia="仿宋_GB2312" w:cs="仿宋_GB2312"/>
          <w:b/>
          <w:kern w:val="0"/>
          <w:sz w:val="32"/>
          <w:szCs w:val="32"/>
        </w:rPr>
      </w:pPr>
      <w:r>
        <w:rPr>
          <w:rFonts w:hint="eastAsia" w:eastAsia="仿宋_GB2312" w:cs="仿宋_GB2312"/>
          <w:b/>
          <w:kern w:val="0"/>
          <w:sz w:val="32"/>
          <w:szCs w:val="32"/>
        </w:rPr>
        <w:t>2</w:t>
      </w:r>
      <w:r>
        <w:rPr>
          <w:rFonts w:eastAsia="仿宋_GB2312" w:cs="仿宋_GB2312"/>
          <w:b/>
          <w:kern w:val="0"/>
          <w:sz w:val="32"/>
          <w:szCs w:val="32"/>
        </w:rPr>
        <w:t>.</w:t>
      </w:r>
      <w:r>
        <w:rPr>
          <w:rFonts w:hint="eastAsia" w:eastAsia="仿宋_GB2312" w:cs="仿宋_GB2312"/>
          <w:b/>
          <w:kern w:val="0"/>
          <w:sz w:val="32"/>
          <w:szCs w:val="32"/>
        </w:rPr>
        <w:t>主管部门职能</w:t>
      </w:r>
    </w:p>
    <w:p w14:paraId="7957AAA4">
      <w:pPr>
        <w:spacing w:line="578" w:lineRule="exact"/>
        <w:ind w:firstLine="640"/>
        <w:rPr>
          <w:rFonts w:eastAsia="仿宋_GB2312" w:cs="仿宋_GB2312"/>
          <w:kern w:val="0"/>
          <w:sz w:val="32"/>
          <w:szCs w:val="32"/>
        </w:rPr>
      </w:pPr>
      <w:r>
        <w:rPr>
          <w:rFonts w:hint="eastAsia" w:eastAsia="仿宋_GB2312" w:cs="仿宋_GB2312"/>
          <w:kern w:val="0"/>
          <w:sz w:val="32"/>
          <w:szCs w:val="32"/>
        </w:rPr>
        <w:t>省农业农村厅负责统筹规划、组织协调与监督，攀枝花市农林科学研究院作为承担单位，负责专家团队管理、技术推广及资金使用。</w:t>
      </w:r>
    </w:p>
    <w:p w14:paraId="457CED39">
      <w:pPr>
        <w:spacing w:line="578" w:lineRule="exact"/>
        <w:ind w:firstLine="640"/>
        <w:rPr>
          <w:rFonts w:eastAsia="仿宋_GB2312" w:cs="仿宋_GB2312"/>
          <w:b/>
          <w:kern w:val="0"/>
          <w:sz w:val="32"/>
          <w:szCs w:val="32"/>
        </w:rPr>
      </w:pPr>
      <w:r>
        <w:rPr>
          <w:rFonts w:hint="eastAsia" w:eastAsia="仿宋_GB2312" w:cs="仿宋_GB2312"/>
          <w:b/>
          <w:kern w:val="0"/>
          <w:sz w:val="32"/>
          <w:szCs w:val="32"/>
        </w:rPr>
        <w:t>3</w:t>
      </w:r>
      <w:r>
        <w:rPr>
          <w:rFonts w:eastAsia="仿宋_GB2312" w:cs="仿宋_GB2312"/>
          <w:b/>
          <w:kern w:val="0"/>
          <w:sz w:val="32"/>
          <w:szCs w:val="32"/>
        </w:rPr>
        <w:t>.</w:t>
      </w:r>
      <w:r>
        <w:rPr>
          <w:rFonts w:hint="eastAsia" w:eastAsia="仿宋_GB2312" w:cs="仿宋_GB2312"/>
          <w:b/>
          <w:kern w:val="0"/>
          <w:sz w:val="32"/>
          <w:szCs w:val="32"/>
        </w:rPr>
        <w:t>立项依据</w:t>
      </w:r>
    </w:p>
    <w:p w14:paraId="57250D2C">
      <w:pPr>
        <w:pStyle w:val="30"/>
        <w:spacing w:line="578" w:lineRule="exact"/>
        <w:ind w:firstLine="640"/>
        <w:rPr>
          <w:rFonts w:eastAsia="仿宋_GB2312" w:cs="仿宋_GB2312"/>
          <w:kern w:val="0"/>
          <w:sz w:val="32"/>
          <w:szCs w:val="32"/>
        </w:rPr>
      </w:pPr>
      <w:r>
        <w:rPr>
          <w:rFonts w:hint="eastAsia" w:eastAsia="仿宋_GB2312" w:cs="仿宋_GB2312"/>
          <w:kern w:val="0"/>
          <w:sz w:val="32"/>
          <w:szCs w:val="32"/>
        </w:rPr>
        <w:t>依据《关于做好2024年科技下乡万里行活动有关事项的通知》（川组通</w:t>
      </w:r>
      <w:r>
        <w:rPr>
          <w:rFonts w:hint="eastAsia" w:ascii="宋体" w:hAnsi="宋体" w:cs="宋体"/>
          <w:kern w:val="0"/>
          <w:sz w:val="32"/>
          <w:szCs w:val="32"/>
        </w:rPr>
        <w:t>﹝</w:t>
      </w:r>
      <w:r>
        <w:rPr>
          <w:rFonts w:hint="eastAsia" w:eastAsia="仿宋_GB2312" w:cs="仿宋_GB2312"/>
          <w:kern w:val="0"/>
          <w:sz w:val="32"/>
          <w:szCs w:val="32"/>
        </w:rPr>
        <w:t>2024</w:t>
      </w:r>
      <w:r>
        <w:rPr>
          <w:rFonts w:hint="eastAsia" w:ascii="宋体" w:hAnsi="宋体" w:cs="宋体"/>
          <w:kern w:val="0"/>
          <w:sz w:val="32"/>
          <w:szCs w:val="32"/>
        </w:rPr>
        <w:t>﹞</w:t>
      </w:r>
      <w:r>
        <w:rPr>
          <w:rFonts w:hint="eastAsia" w:eastAsia="仿宋_GB2312" w:cs="仿宋_GB2312"/>
          <w:kern w:val="0"/>
          <w:sz w:val="32"/>
          <w:szCs w:val="32"/>
        </w:rPr>
        <w:t>25号）等文件要求，聚焦产业技术推广与人才建设。</w:t>
      </w:r>
    </w:p>
    <w:p w14:paraId="72231E9E">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785ADF0A">
      <w:pPr>
        <w:spacing w:line="578" w:lineRule="exact"/>
        <w:ind w:firstLine="640"/>
        <w:rPr>
          <w:rFonts w:eastAsia="仿宋_GB2312" w:cs="仿宋_GB2312"/>
          <w:b/>
          <w:kern w:val="0"/>
          <w:sz w:val="32"/>
          <w:szCs w:val="32"/>
        </w:rPr>
      </w:pPr>
      <w:r>
        <w:rPr>
          <w:rFonts w:hint="eastAsia" w:eastAsia="仿宋_GB2312" w:cs="仿宋_GB2312"/>
          <w:b/>
          <w:kern w:val="0"/>
          <w:sz w:val="32"/>
          <w:szCs w:val="32"/>
        </w:rPr>
        <w:t>1. 项目主要内容。</w:t>
      </w:r>
    </w:p>
    <w:p w14:paraId="592D8A31">
      <w:pPr>
        <w:spacing w:line="578" w:lineRule="exact"/>
        <w:ind w:firstLine="640"/>
        <w:rPr>
          <w:rFonts w:eastAsia="仿宋_GB2312" w:cs="仿宋_GB2312"/>
          <w:kern w:val="0"/>
          <w:sz w:val="32"/>
          <w:szCs w:val="32"/>
        </w:rPr>
      </w:pPr>
      <w:r>
        <w:rPr>
          <w:rFonts w:hint="eastAsia" w:eastAsia="仿宋_GB2312" w:cs="仿宋_GB2312"/>
          <w:kern w:val="0"/>
          <w:sz w:val="32"/>
          <w:szCs w:val="32"/>
        </w:rPr>
        <w:t>（2）组建蔬菜、芒果2个专家服务团（共10人）；（2）开展技术培训、田间指导、应急响应服务；（3）建立示范基地推广新品种新技术；（4）培育技术骨干、示范户及乡土人才。</w:t>
      </w:r>
    </w:p>
    <w:p w14:paraId="02EA5D6E">
      <w:pPr>
        <w:spacing w:line="578" w:lineRule="exact"/>
        <w:ind w:firstLine="640"/>
        <w:rPr>
          <w:rFonts w:eastAsia="仿宋_GB2312" w:cs="仿宋_GB2312"/>
          <w:b/>
          <w:kern w:val="0"/>
          <w:sz w:val="32"/>
          <w:szCs w:val="32"/>
        </w:rPr>
      </w:pPr>
      <w:r>
        <w:rPr>
          <w:rFonts w:hint="eastAsia" w:eastAsia="仿宋_GB2312" w:cs="仿宋_GB2312"/>
          <w:b/>
          <w:kern w:val="0"/>
          <w:sz w:val="32"/>
          <w:szCs w:val="32"/>
        </w:rPr>
        <w:t>2. 项目应实现的具体绩效目标</w:t>
      </w:r>
    </w:p>
    <w:p w14:paraId="4058E45E">
      <w:pPr>
        <w:spacing w:line="578" w:lineRule="exact"/>
        <w:ind w:firstLine="640"/>
        <w:rPr>
          <w:rFonts w:eastAsia="仿宋_GB2312" w:cs="仿宋_GB2312"/>
          <w:kern w:val="0"/>
          <w:sz w:val="32"/>
          <w:szCs w:val="32"/>
        </w:rPr>
      </w:pPr>
      <w:r>
        <w:rPr>
          <w:rFonts w:hint="eastAsia" w:eastAsia="仿宋_GB2312" w:cs="仿宋_GB2312"/>
          <w:kern w:val="0"/>
          <w:sz w:val="32"/>
          <w:szCs w:val="32"/>
        </w:rPr>
        <w:t>提升科技支撑能力和产业发展水平；培养本土人才；为主管部门提供咨询服务；促进农民持续增收，稳定脱贫攻坚成果。主要工作任务：</w:t>
      </w:r>
    </w:p>
    <w:p w14:paraId="2CC8AA7A">
      <w:pPr>
        <w:spacing w:line="578" w:lineRule="exact"/>
        <w:ind w:firstLine="640"/>
        <w:rPr>
          <w:rFonts w:eastAsia="仿宋_GB2312" w:cs="仿宋_GB2312"/>
          <w:kern w:val="0"/>
          <w:sz w:val="32"/>
          <w:szCs w:val="32"/>
        </w:rPr>
      </w:pPr>
      <w:r>
        <w:rPr>
          <w:rFonts w:hint="eastAsia" w:eastAsia="仿宋_GB2312" w:cs="仿宋_GB2312"/>
          <w:kern w:val="0"/>
          <w:sz w:val="32"/>
          <w:szCs w:val="32"/>
        </w:rPr>
        <w:t>（1）制定专家服务团工作方案，细化分解帮扶任务；</w:t>
      </w:r>
    </w:p>
    <w:p w14:paraId="190B07AD">
      <w:pPr>
        <w:spacing w:line="578" w:lineRule="exact"/>
        <w:ind w:firstLine="640"/>
        <w:rPr>
          <w:rFonts w:eastAsia="仿宋_GB2312" w:cs="仿宋_GB2312"/>
          <w:kern w:val="0"/>
          <w:sz w:val="32"/>
          <w:szCs w:val="32"/>
        </w:rPr>
      </w:pPr>
      <w:r>
        <w:rPr>
          <w:rFonts w:hint="eastAsia" w:eastAsia="仿宋_GB2312" w:cs="仿宋_GB2312"/>
          <w:kern w:val="0"/>
          <w:sz w:val="32"/>
          <w:szCs w:val="32"/>
        </w:rPr>
        <w:t>（2）专家服务团每名成员在受援地服务不少于30天；</w:t>
      </w:r>
    </w:p>
    <w:p w14:paraId="4DC4A202">
      <w:pPr>
        <w:spacing w:line="578" w:lineRule="exact"/>
        <w:ind w:firstLine="640"/>
        <w:rPr>
          <w:rFonts w:eastAsia="仿宋_GB2312" w:cs="仿宋_GB2312"/>
          <w:kern w:val="0"/>
          <w:sz w:val="32"/>
          <w:szCs w:val="32"/>
        </w:rPr>
      </w:pPr>
      <w:r>
        <w:rPr>
          <w:rFonts w:hint="eastAsia" w:eastAsia="仿宋_GB2312" w:cs="仿宋_GB2312"/>
          <w:kern w:val="0"/>
          <w:sz w:val="32"/>
          <w:szCs w:val="32"/>
        </w:rPr>
        <w:t>（3）为受援地提供高质量调研报告1篇；</w:t>
      </w:r>
    </w:p>
    <w:p w14:paraId="5DE28DC8">
      <w:pPr>
        <w:spacing w:line="578" w:lineRule="exact"/>
        <w:ind w:firstLine="640"/>
        <w:rPr>
          <w:rFonts w:eastAsia="仿宋_GB2312" w:cs="仿宋_GB2312"/>
          <w:kern w:val="0"/>
          <w:sz w:val="32"/>
          <w:szCs w:val="32"/>
        </w:rPr>
      </w:pPr>
      <w:r>
        <w:rPr>
          <w:rFonts w:hint="eastAsia" w:eastAsia="仿宋_GB2312" w:cs="仿宋_GB2312"/>
          <w:kern w:val="0"/>
          <w:sz w:val="32"/>
          <w:szCs w:val="32"/>
        </w:rPr>
        <w:t>（4）每年在受援地主导产业乡镇举办技术培训指导不少于1次，培养农村实用技术骨干人才不少于5名，科技示范户不少于3户，在受援地主导产业村培养农村实用技术骨干人才不少于1名。</w:t>
      </w:r>
    </w:p>
    <w:p w14:paraId="47244641">
      <w:pPr>
        <w:spacing w:line="578" w:lineRule="exact"/>
        <w:ind w:firstLine="640"/>
        <w:rPr>
          <w:rFonts w:eastAsia="仿宋_GB2312" w:cs="仿宋_GB2312"/>
          <w:kern w:val="0"/>
          <w:sz w:val="32"/>
          <w:szCs w:val="32"/>
        </w:rPr>
      </w:pPr>
      <w:r>
        <w:rPr>
          <w:rFonts w:hint="eastAsia" w:eastAsia="仿宋_GB2312" w:cs="仿宋_GB2312"/>
          <w:kern w:val="0"/>
          <w:sz w:val="32"/>
          <w:szCs w:val="32"/>
        </w:rPr>
        <w:t>（5）指导受援地建立试验示范基地，示范推广新品种新技术、新模式3-5个（项）</w:t>
      </w:r>
      <w:r>
        <w:rPr>
          <w:rFonts w:eastAsia="仿宋_GB2312" w:cs="仿宋_GB2312"/>
          <w:kern w:val="0"/>
          <w:sz w:val="32"/>
          <w:szCs w:val="32"/>
        </w:rPr>
        <w:t>。</w:t>
      </w:r>
    </w:p>
    <w:p w14:paraId="2EFAFFEC">
      <w:pPr>
        <w:spacing w:line="578" w:lineRule="exact"/>
        <w:ind w:firstLine="640"/>
        <w:rPr>
          <w:rFonts w:eastAsia="仿宋_GB2312" w:cs="仿宋_GB2312"/>
          <w:b/>
          <w:kern w:val="0"/>
          <w:sz w:val="32"/>
          <w:szCs w:val="32"/>
        </w:rPr>
      </w:pPr>
      <w:r>
        <w:rPr>
          <w:rFonts w:eastAsia="仿宋_GB2312" w:cs="仿宋_GB2312"/>
          <w:b/>
          <w:kern w:val="0"/>
          <w:sz w:val="32"/>
          <w:szCs w:val="32"/>
        </w:rPr>
        <w:t>3. 申报内容与实际相符，申报目标合理可行。</w:t>
      </w:r>
    </w:p>
    <w:p w14:paraId="3D0F11D1">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178FAA8F">
      <w:pPr>
        <w:spacing w:line="578" w:lineRule="exact"/>
        <w:ind w:firstLine="640"/>
        <w:rPr>
          <w:rFonts w:eastAsia="仿宋_GB2312" w:cs="仿宋_GB2312"/>
          <w:kern w:val="0"/>
          <w:sz w:val="32"/>
          <w:szCs w:val="32"/>
        </w:rPr>
      </w:pPr>
      <w:r>
        <w:rPr>
          <w:rFonts w:hint="eastAsia" w:eastAsia="仿宋_GB2312" w:cs="仿宋_GB2312"/>
          <w:kern w:val="0"/>
          <w:sz w:val="32"/>
          <w:szCs w:val="32"/>
        </w:rPr>
        <w:t>项目绩效自评采用的组织实施步骤及方法：根据项目情况和评价重点，采用案卷研究法、单位自评法、实地勘察法等多种方法。</w:t>
      </w:r>
    </w:p>
    <w:p w14:paraId="0AFF6DA5">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68D80313">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404D5EC4">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扶贫资金的使用要求进行开支，每一笔开支均实行三级监管（项目组—财务—分管副院长），物资采购严格按照攀枝花市农林院《攀枝花市农林科学研究院非政府采购类项目的采购管理办法（试行）》（攀农林[2025]38号）进行审批，项目经费手续完整、程序合规。</w:t>
      </w:r>
    </w:p>
    <w:p w14:paraId="53944681">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6C0E8C36">
      <w:pPr>
        <w:spacing w:line="578" w:lineRule="exact"/>
        <w:ind w:firstLine="640"/>
        <w:rPr>
          <w:rFonts w:eastAsia="仿宋_GB2312" w:cs="仿宋_GB2312"/>
          <w:b/>
          <w:kern w:val="0"/>
          <w:sz w:val="32"/>
          <w:szCs w:val="32"/>
        </w:rPr>
      </w:pPr>
      <w:r>
        <w:rPr>
          <w:rFonts w:eastAsia="仿宋_GB2312" w:cs="仿宋_GB2312"/>
          <w:b/>
          <w:kern w:val="0"/>
          <w:sz w:val="32"/>
          <w:szCs w:val="32"/>
        </w:rPr>
        <w:t>1．资金计划</w:t>
      </w:r>
    </w:p>
    <w:p w14:paraId="452B2EC9">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本项目总预算</w:t>
      </w:r>
      <w:r>
        <w:rPr>
          <w:rFonts w:eastAsia="仿宋_GB2312" w:cs="仿宋_GB2312"/>
          <w:kern w:val="0"/>
          <w:sz w:val="32"/>
          <w:szCs w:val="32"/>
        </w:rPr>
        <w:t>24</w:t>
      </w:r>
      <w:r>
        <w:rPr>
          <w:rFonts w:hint="eastAsia" w:eastAsia="仿宋_GB2312" w:cs="仿宋_GB2312"/>
          <w:kern w:val="0"/>
          <w:sz w:val="32"/>
          <w:szCs w:val="32"/>
        </w:rPr>
        <w:t>万元</w:t>
      </w:r>
      <w:r>
        <w:rPr>
          <w:rFonts w:eastAsia="仿宋_GB2312" w:cs="仿宋_GB2312"/>
          <w:kern w:val="0"/>
          <w:sz w:val="32"/>
          <w:szCs w:val="32"/>
        </w:rPr>
        <w:t>。</w:t>
      </w:r>
    </w:p>
    <w:p w14:paraId="70A04F56">
      <w:pPr>
        <w:spacing w:line="578" w:lineRule="exact"/>
        <w:ind w:firstLine="640"/>
        <w:rPr>
          <w:rFonts w:eastAsia="仿宋_GB2312" w:cs="仿宋_GB2312"/>
          <w:b/>
          <w:kern w:val="0"/>
          <w:sz w:val="32"/>
          <w:szCs w:val="32"/>
        </w:rPr>
      </w:pPr>
      <w:r>
        <w:rPr>
          <w:rFonts w:eastAsia="仿宋_GB2312" w:cs="仿宋_GB2312"/>
          <w:b/>
          <w:kern w:val="0"/>
          <w:sz w:val="32"/>
          <w:szCs w:val="32"/>
        </w:rPr>
        <w:t>2．资金到位及使用</w:t>
      </w:r>
    </w:p>
    <w:p w14:paraId="528C296E">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本项目资金来源为省级财政乡村振兴补助资金，</w:t>
      </w:r>
      <w:r>
        <w:rPr>
          <w:rFonts w:eastAsia="仿宋_GB2312" w:cs="仿宋_GB2312"/>
          <w:kern w:val="0"/>
          <w:sz w:val="32"/>
          <w:szCs w:val="32"/>
        </w:rPr>
        <w:t>本项目2025年完成支付项目经费8.84万元，还有约14.7万元的材料费、差旅费正在支付中。</w:t>
      </w:r>
    </w:p>
    <w:p w14:paraId="1AE5B534">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018A201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资金在使用过程中，严格按照省、市科技、扶贫资金的使用要求进行开支，每一笔开支均实行三级监管（项目组—财务—分管副院长），物资采购严格按照《攀枝花市农林科学研究院非政府采购类项目的采购管理办法（试行）》（攀农林[2025]38号），综上所述，项目资金的使用安全、规范、有效，资金支付范围、支付标准、支付进度、支付依据等合规合法</w:t>
      </w:r>
      <w:r>
        <w:rPr>
          <w:rFonts w:eastAsia="仿宋_GB2312" w:cs="仿宋_GB2312"/>
          <w:kern w:val="0"/>
          <w:sz w:val="32"/>
          <w:szCs w:val="32"/>
        </w:rPr>
        <w:t>。</w:t>
      </w:r>
    </w:p>
    <w:p w14:paraId="25A80EB9">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36BF8868">
      <w:pPr>
        <w:numPr>
          <w:ilvl w:val="0"/>
          <w:numId w:val="9"/>
        </w:numPr>
        <w:spacing w:line="578" w:lineRule="exact"/>
        <w:rPr>
          <w:rFonts w:eastAsia="仿宋_GB2312" w:cs="仿宋_GB2312"/>
          <w:b/>
          <w:kern w:val="0"/>
          <w:sz w:val="32"/>
          <w:szCs w:val="32"/>
        </w:rPr>
      </w:pPr>
      <w:r>
        <w:rPr>
          <w:rFonts w:eastAsia="仿宋_GB2312" w:cs="仿宋_GB2312"/>
          <w:b/>
          <w:kern w:val="0"/>
          <w:sz w:val="32"/>
          <w:szCs w:val="32"/>
        </w:rPr>
        <w:t>项目组织架构及实施流程。</w:t>
      </w:r>
    </w:p>
    <w:p w14:paraId="682A38DC">
      <w:pPr>
        <w:spacing w:line="578" w:lineRule="exact"/>
        <w:ind w:firstLine="640"/>
        <w:jc w:val="center"/>
        <w:rPr>
          <w:rFonts w:eastAsia="仿宋_GB2312" w:cs="仿宋_GB2312"/>
          <w:kern w:val="0"/>
          <w:sz w:val="32"/>
          <w:szCs w:val="32"/>
        </w:rPr>
      </w:pPr>
      <w:r>
        <w:rPr>
          <w:rFonts w:eastAsia="仿宋_GB2312" w:cs="仿宋_GB2312"/>
          <w:kern w:val="0"/>
          <w:sz w:val="32"/>
          <w:szCs w:val="32"/>
        </w:rPr>
        <w:t>评价组人员构成</w:t>
      </w:r>
      <w:r>
        <w:rPr>
          <w:rFonts w:hint="eastAsia" w:eastAsia="仿宋_GB2312" w:cs="仿宋_GB2312"/>
          <w:kern w:val="0"/>
          <w:sz w:val="32"/>
          <w:szCs w:val="32"/>
        </w:rPr>
        <w:t>和</w:t>
      </w:r>
      <w:r>
        <w:rPr>
          <w:rFonts w:eastAsia="仿宋_GB2312" w:cs="仿宋_GB2312"/>
          <w:kern w:val="0"/>
          <w:sz w:val="32"/>
          <w:szCs w:val="32"/>
        </w:rPr>
        <w:t>职责分工见下表</w:t>
      </w:r>
      <w:r>
        <w:rPr>
          <w:rFonts w:hint="eastAsia" w:eastAsia="仿宋_GB2312" w:cs="仿宋_GB2312"/>
          <w:kern w:val="0"/>
          <w:sz w:val="32"/>
          <w:szCs w:val="32"/>
        </w:rPr>
        <w:t>。</w:t>
      </w:r>
    </w:p>
    <w:tbl>
      <w:tblPr>
        <w:tblStyle w:val="18"/>
        <w:tblW w:w="8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6416"/>
      </w:tblGrid>
      <w:tr w14:paraId="0C9F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15" w:type="dxa"/>
            <w:tcBorders>
              <w:tl2br w:val="nil"/>
              <w:tr2bl w:val="nil"/>
            </w:tcBorders>
            <w:vAlign w:val="center"/>
          </w:tcPr>
          <w:p w14:paraId="748D65C8">
            <w:pPr>
              <w:jc w:val="center"/>
              <w:rPr>
                <w:sz w:val="24"/>
              </w:rPr>
            </w:pPr>
            <w:r>
              <w:rPr>
                <w:sz w:val="24"/>
              </w:rPr>
              <w:t>姓  名</w:t>
            </w:r>
          </w:p>
        </w:tc>
        <w:tc>
          <w:tcPr>
            <w:tcW w:w="6416" w:type="dxa"/>
            <w:tcBorders>
              <w:tl2br w:val="nil"/>
              <w:tr2bl w:val="nil"/>
            </w:tcBorders>
            <w:vAlign w:val="center"/>
          </w:tcPr>
          <w:p w14:paraId="243F6B5E">
            <w:pPr>
              <w:jc w:val="center"/>
              <w:rPr>
                <w:sz w:val="24"/>
              </w:rPr>
            </w:pPr>
            <w:r>
              <w:rPr>
                <w:sz w:val="24"/>
              </w:rPr>
              <w:t>职责分工</w:t>
            </w:r>
          </w:p>
        </w:tc>
      </w:tr>
      <w:tr w14:paraId="0085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15" w:type="dxa"/>
            <w:tcBorders>
              <w:tl2br w:val="nil"/>
              <w:tr2bl w:val="nil"/>
            </w:tcBorders>
            <w:vAlign w:val="center"/>
          </w:tcPr>
          <w:p w14:paraId="1C6C43E7">
            <w:pPr>
              <w:jc w:val="center"/>
              <w:rPr>
                <w:sz w:val="24"/>
              </w:rPr>
            </w:pPr>
            <w:r>
              <w:rPr>
                <w:sz w:val="24"/>
              </w:rPr>
              <w:t>罗照西</w:t>
            </w:r>
          </w:p>
        </w:tc>
        <w:tc>
          <w:tcPr>
            <w:tcW w:w="6416" w:type="dxa"/>
            <w:tcBorders>
              <w:tl2br w:val="nil"/>
              <w:tr2bl w:val="nil"/>
            </w:tcBorders>
            <w:vAlign w:val="center"/>
          </w:tcPr>
          <w:p w14:paraId="23C25403">
            <w:pPr>
              <w:jc w:val="center"/>
              <w:rPr>
                <w:sz w:val="24"/>
              </w:rPr>
            </w:pPr>
            <w:r>
              <w:rPr>
                <w:sz w:val="24"/>
              </w:rPr>
              <w:t>组长，协助芒果团队评价材料收集、整理。</w:t>
            </w:r>
          </w:p>
        </w:tc>
      </w:tr>
      <w:tr w14:paraId="2FDC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15" w:type="dxa"/>
            <w:tcBorders>
              <w:tl2br w:val="nil"/>
              <w:tr2bl w:val="nil"/>
            </w:tcBorders>
            <w:vAlign w:val="center"/>
          </w:tcPr>
          <w:p w14:paraId="084846E0">
            <w:pPr>
              <w:jc w:val="center"/>
              <w:rPr>
                <w:sz w:val="24"/>
              </w:rPr>
            </w:pPr>
            <w:r>
              <w:rPr>
                <w:sz w:val="24"/>
              </w:rPr>
              <w:t>杨晓峰</w:t>
            </w:r>
          </w:p>
        </w:tc>
        <w:tc>
          <w:tcPr>
            <w:tcW w:w="6416" w:type="dxa"/>
            <w:tcBorders>
              <w:tl2br w:val="nil"/>
              <w:tr2bl w:val="nil"/>
            </w:tcBorders>
            <w:vAlign w:val="center"/>
          </w:tcPr>
          <w:p w14:paraId="16FC5CE6">
            <w:pPr>
              <w:jc w:val="center"/>
              <w:rPr>
                <w:sz w:val="24"/>
              </w:rPr>
            </w:pPr>
            <w:r>
              <w:rPr>
                <w:sz w:val="24"/>
              </w:rPr>
              <w:t>副组长，负责蔬菜团队评价的全面工作。</w:t>
            </w:r>
          </w:p>
        </w:tc>
      </w:tr>
      <w:tr w14:paraId="1F29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15" w:type="dxa"/>
            <w:tcBorders>
              <w:tl2br w:val="nil"/>
              <w:tr2bl w:val="nil"/>
            </w:tcBorders>
            <w:vAlign w:val="center"/>
          </w:tcPr>
          <w:p w14:paraId="0703DFE0">
            <w:pPr>
              <w:jc w:val="center"/>
              <w:rPr>
                <w:sz w:val="24"/>
              </w:rPr>
            </w:pPr>
            <w:r>
              <w:rPr>
                <w:sz w:val="24"/>
              </w:rPr>
              <w:t>胡湘军</w:t>
            </w:r>
          </w:p>
        </w:tc>
        <w:tc>
          <w:tcPr>
            <w:tcW w:w="6416" w:type="dxa"/>
            <w:tcBorders>
              <w:tl2br w:val="nil"/>
              <w:tr2bl w:val="nil"/>
            </w:tcBorders>
            <w:vAlign w:val="center"/>
          </w:tcPr>
          <w:p w14:paraId="16E59ACB">
            <w:pPr>
              <w:jc w:val="center"/>
              <w:rPr>
                <w:sz w:val="24"/>
              </w:rPr>
            </w:pPr>
            <w:r>
              <w:rPr>
                <w:sz w:val="24"/>
              </w:rPr>
              <w:t>成员，负责蔬菜团队评价材料撰写。</w:t>
            </w:r>
          </w:p>
        </w:tc>
      </w:tr>
      <w:tr w14:paraId="4CB2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715" w:type="dxa"/>
            <w:tcBorders>
              <w:tl2br w:val="nil"/>
              <w:tr2bl w:val="nil"/>
            </w:tcBorders>
            <w:vAlign w:val="center"/>
          </w:tcPr>
          <w:p w14:paraId="449567EC">
            <w:pPr>
              <w:jc w:val="center"/>
              <w:rPr>
                <w:sz w:val="24"/>
              </w:rPr>
            </w:pPr>
            <w:r>
              <w:rPr>
                <w:sz w:val="24"/>
              </w:rPr>
              <w:t>黄艳</w:t>
            </w:r>
          </w:p>
        </w:tc>
        <w:tc>
          <w:tcPr>
            <w:tcW w:w="6416" w:type="dxa"/>
            <w:tcBorders>
              <w:tl2br w:val="nil"/>
              <w:tr2bl w:val="nil"/>
            </w:tcBorders>
            <w:vAlign w:val="center"/>
          </w:tcPr>
          <w:p w14:paraId="157BCBCE">
            <w:pPr>
              <w:jc w:val="center"/>
              <w:rPr>
                <w:sz w:val="24"/>
              </w:rPr>
            </w:pPr>
            <w:r>
              <w:rPr>
                <w:sz w:val="24"/>
              </w:rPr>
              <w:t>成员，协助蔬菜团队评价材料收集、整理。</w:t>
            </w:r>
          </w:p>
        </w:tc>
      </w:tr>
      <w:tr w14:paraId="7BFC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15" w:type="dxa"/>
            <w:tcBorders>
              <w:tl2br w:val="nil"/>
              <w:tr2bl w:val="nil"/>
            </w:tcBorders>
            <w:vAlign w:val="center"/>
          </w:tcPr>
          <w:p w14:paraId="66AC1556">
            <w:pPr>
              <w:jc w:val="center"/>
              <w:rPr>
                <w:sz w:val="24"/>
              </w:rPr>
            </w:pPr>
            <w:r>
              <w:rPr>
                <w:sz w:val="24"/>
              </w:rPr>
              <w:t>李志</w:t>
            </w:r>
          </w:p>
        </w:tc>
        <w:tc>
          <w:tcPr>
            <w:tcW w:w="6416" w:type="dxa"/>
            <w:tcBorders>
              <w:tl2br w:val="nil"/>
              <w:tr2bl w:val="nil"/>
            </w:tcBorders>
            <w:vAlign w:val="center"/>
          </w:tcPr>
          <w:p w14:paraId="53F09321">
            <w:pPr>
              <w:jc w:val="center"/>
              <w:rPr>
                <w:sz w:val="24"/>
              </w:rPr>
            </w:pPr>
            <w:r>
              <w:rPr>
                <w:sz w:val="24"/>
              </w:rPr>
              <w:t>成员，协助蔬菜团队评价材料收集、整理。</w:t>
            </w:r>
          </w:p>
        </w:tc>
      </w:tr>
      <w:tr w14:paraId="2DF6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15" w:type="dxa"/>
            <w:tcBorders>
              <w:tl2br w:val="nil"/>
              <w:tr2bl w:val="nil"/>
            </w:tcBorders>
            <w:vAlign w:val="center"/>
          </w:tcPr>
          <w:p w14:paraId="6F310167">
            <w:pPr>
              <w:jc w:val="center"/>
              <w:rPr>
                <w:sz w:val="24"/>
              </w:rPr>
            </w:pPr>
            <w:r>
              <w:rPr>
                <w:sz w:val="24"/>
              </w:rPr>
              <w:t>李贵利</w:t>
            </w:r>
          </w:p>
        </w:tc>
        <w:tc>
          <w:tcPr>
            <w:tcW w:w="6416" w:type="dxa"/>
            <w:tcBorders>
              <w:tl2br w:val="nil"/>
              <w:tr2bl w:val="nil"/>
            </w:tcBorders>
            <w:vAlign w:val="center"/>
          </w:tcPr>
          <w:p w14:paraId="3A62FE95">
            <w:pPr>
              <w:jc w:val="center"/>
              <w:rPr>
                <w:sz w:val="24"/>
              </w:rPr>
            </w:pPr>
            <w:r>
              <w:rPr>
                <w:sz w:val="24"/>
              </w:rPr>
              <w:t>成员，负责芒果团队评价材料撰写。</w:t>
            </w:r>
          </w:p>
        </w:tc>
      </w:tr>
      <w:tr w14:paraId="2625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15" w:type="dxa"/>
            <w:tcBorders>
              <w:tl2br w:val="nil"/>
              <w:tr2bl w:val="nil"/>
            </w:tcBorders>
            <w:vAlign w:val="center"/>
          </w:tcPr>
          <w:p w14:paraId="435C9D5F">
            <w:pPr>
              <w:jc w:val="center"/>
              <w:rPr>
                <w:sz w:val="24"/>
              </w:rPr>
            </w:pPr>
            <w:r>
              <w:rPr>
                <w:sz w:val="24"/>
              </w:rPr>
              <w:t>李桂珍</w:t>
            </w:r>
          </w:p>
        </w:tc>
        <w:tc>
          <w:tcPr>
            <w:tcW w:w="6416" w:type="dxa"/>
            <w:tcBorders>
              <w:tl2br w:val="nil"/>
              <w:tr2bl w:val="nil"/>
            </w:tcBorders>
            <w:vAlign w:val="center"/>
          </w:tcPr>
          <w:p w14:paraId="67F36495">
            <w:pPr>
              <w:jc w:val="center"/>
              <w:rPr>
                <w:sz w:val="24"/>
              </w:rPr>
            </w:pPr>
            <w:r>
              <w:rPr>
                <w:sz w:val="24"/>
              </w:rPr>
              <w:t>成员，协助芒果团队评价材料收集、整理。</w:t>
            </w:r>
          </w:p>
        </w:tc>
      </w:tr>
    </w:tbl>
    <w:p w14:paraId="6B16D548">
      <w:pPr>
        <w:spacing w:line="578" w:lineRule="exact"/>
        <w:ind w:firstLine="640"/>
        <w:rPr>
          <w:rFonts w:eastAsia="仿宋_GB2312" w:cs="仿宋_GB2312"/>
          <w:kern w:val="0"/>
          <w:sz w:val="32"/>
          <w:szCs w:val="32"/>
        </w:rPr>
      </w:pPr>
      <w:r>
        <w:rPr>
          <w:rFonts w:hint="eastAsia" w:eastAsia="仿宋_GB2312" w:cs="仿宋_GB2312"/>
          <w:kern w:val="0"/>
          <w:sz w:val="32"/>
          <w:szCs w:val="32"/>
        </w:rPr>
        <w:t>实施流程：制定年度目标与工作计划，依据专家专业特长和岗位职能细化分配任务。然后采用集中式、分组式及独立开展等形式开展各类培训与指导活动。在活动过程中，通过专属微信群进行信息共享与即时沟通，确保工作顺利进行。</w:t>
      </w:r>
    </w:p>
    <w:p w14:paraId="1C1D4BFF">
      <w:pPr>
        <w:spacing w:line="578" w:lineRule="exact"/>
        <w:ind w:firstLine="640"/>
        <w:rPr>
          <w:rFonts w:eastAsia="仿宋_GB2312" w:cs="仿宋_GB2312"/>
          <w:kern w:val="0"/>
          <w:sz w:val="32"/>
          <w:szCs w:val="32"/>
        </w:rPr>
      </w:pPr>
      <w:r>
        <w:rPr>
          <w:rFonts w:eastAsia="仿宋_GB2312" w:cs="仿宋_GB2312"/>
          <w:b/>
          <w:kern w:val="0"/>
          <w:sz w:val="32"/>
          <w:szCs w:val="32"/>
        </w:rPr>
        <w:t>（二）项目管理情况。</w:t>
      </w:r>
    </w:p>
    <w:p w14:paraId="0DBC9124">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自上而下的管理模式，项目下达单位对项目制定的实施方案进行审核，并根据项目实施方案对项目实施过程进行监督和检查；项目承担单位选择技术骨干组成专门的项目组，项目组负责编写项目实施方案，组织项目实施，撰写总结等，院财务室负责对项目经费开支情况进行审核；项目承担单位科技管理科对项目申报、实施、验收等进行全程监督和管理</w:t>
      </w:r>
      <w:r>
        <w:rPr>
          <w:rFonts w:eastAsia="仿宋_GB2312" w:cs="仿宋_GB2312"/>
          <w:kern w:val="0"/>
          <w:sz w:val="32"/>
          <w:szCs w:val="32"/>
        </w:rPr>
        <w:t>。</w:t>
      </w:r>
    </w:p>
    <w:p w14:paraId="3EFBD50A">
      <w:pPr>
        <w:spacing w:line="578" w:lineRule="exact"/>
        <w:ind w:firstLine="640"/>
        <w:rPr>
          <w:rFonts w:eastAsia="仿宋_GB2312" w:cs="仿宋_GB2312"/>
          <w:kern w:val="0"/>
          <w:sz w:val="32"/>
          <w:szCs w:val="32"/>
        </w:rPr>
      </w:pPr>
      <w:r>
        <w:rPr>
          <w:rFonts w:hint="eastAsia" w:eastAsia="仿宋_GB2312" w:cs="仿宋_GB2312"/>
          <w:kern w:val="0"/>
          <w:sz w:val="32"/>
          <w:szCs w:val="32"/>
        </w:rPr>
        <w:t>本项目在使用过程中，严格按照省、市科技项目资金使用要求进行开支，开支均实行三级监管（项目组—财务—分管副院长），物资采购严格按照攀枝花市农林院《攀枝花市农林科学研究院非政府采购类项目的采购管理办法（试行）》（攀农林[2025]38号）进行审批。因此，项目资金的使用安全、规范、有效，资金支付范围、支付标准、支付进度、支付依据等合规合法、与预算相符。</w:t>
      </w:r>
    </w:p>
    <w:p w14:paraId="3CC760AD">
      <w:pPr>
        <w:spacing w:line="578" w:lineRule="exact"/>
        <w:ind w:firstLine="640"/>
        <w:rPr>
          <w:rFonts w:eastAsia="仿宋_GB2312" w:cs="仿宋_GB2312"/>
          <w:kern w:val="0"/>
          <w:sz w:val="32"/>
          <w:szCs w:val="32"/>
        </w:rPr>
      </w:pPr>
      <w:r>
        <w:rPr>
          <w:rFonts w:eastAsia="仿宋_GB2312" w:cs="仿宋_GB2312"/>
          <w:b/>
          <w:kern w:val="0"/>
          <w:sz w:val="32"/>
          <w:szCs w:val="32"/>
        </w:rPr>
        <w:t>（三）项目监管情况。</w:t>
      </w:r>
    </w:p>
    <w:p w14:paraId="71008F6C">
      <w:pPr>
        <w:spacing w:line="578" w:lineRule="exact"/>
        <w:ind w:firstLine="640"/>
        <w:rPr>
          <w:rFonts w:eastAsia="仿宋_GB2312" w:cs="仿宋_GB2312"/>
          <w:kern w:val="0"/>
          <w:sz w:val="32"/>
          <w:szCs w:val="32"/>
        </w:rPr>
      </w:pPr>
      <w:r>
        <w:rPr>
          <w:rFonts w:hint="eastAsia" w:eastAsia="仿宋_GB2312" w:cs="仿宋_GB2312"/>
          <w:kern w:val="0"/>
          <w:sz w:val="32"/>
          <w:szCs w:val="32"/>
        </w:rPr>
        <w:t>主管部门要求团队定期提供科技下乡万里行工作推进情况，提供相关活动资料和数据。每年对团队进行年度项目考核</w:t>
      </w:r>
      <w:r>
        <w:rPr>
          <w:rFonts w:eastAsia="仿宋_GB2312" w:cs="仿宋_GB2312"/>
          <w:kern w:val="0"/>
          <w:sz w:val="32"/>
          <w:szCs w:val="32"/>
        </w:rPr>
        <w:t>。</w:t>
      </w:r>
    </w:p>
    <w:tbl>
      <w:tblPr>
        <w:tblStyle w:val="18"/>
        <w:tblW w:w="8427" w:type="dxa"/>
        <w:tblInd w:w="93" w:type="dxa"/>
        <w:tblLayout w:type="fixed"/>
        <w:tblCellMar>
          <w:top w:w="0" w:type="dxa"/>
          <w:left w:w="108" w:type="dxa"/>
          <w:bottom w:w="0" w:type="dxa"/>
          <w:right w:w="108" w:type="dxa"/>
        </w:tblCellMar>
      </w:tblPr>
      <w:tblGrid>
        <w:gridCol w:w="705"/>
        <w:gridCol w:w="780"/>
        <w:gridCol w:w="1455"/>
        <w:gridCol w:w="975"/>
        <w:gridCol w:w="1515"/>
        <w:gridCol w:w="990"/>
        <w:gridCol w:w="2007"/>
      </w:tblGrid>
      <w:tr w14:paraId="5C92B56E">
        <w:tblPrEx>
          <w:tblCellMar>
            <w:top w:w="0" w:type="dxa"/>
            <w:left w:w="108" w:type="dxa"/>
            <w:bottom w:w="0" w:type="dxa"/>
            <w:right w:w="108" w:type="dxa"/>
          </w:tblCellMar>
        </w:tblPrEx>
        <w:trPr>
          <w:trHeight w:val="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7B79">
            <w:pPr>
              <w:widowControl/>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C818">
            <w:pPr>
              <w:widowControl/>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D5D4">
            <w:pPr>
              <w:widowControl/>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6F87">
            <w:pPr>
              <w:widowControl/>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A808">
            <w:pPr>
              <w:widowControl/>
              <w:jc w:val="center"/>
              <w:textAlignment w:val="center"/>
              <w:rPr>
                <w:rFonts w:ascii="宋体" w:hAnsi="宋体" w:cs="宋体"/>
                <w:sz w:val="18"/>
                <w:szCs w:val="18"/>
              </w:rPr>
            </w:pPr>
            <w:r>
              <w:rPr>
                <w:rFonts w:ascii="宋体" w:hAnsi="宋体" w:cs="宋体"/>
                <w:kern w:val="0"/>
                <w:sz w:val="18"/>
                <w:szCs w:val="18"/>
              </w:rPr>
              <w:t>指标值</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99D6">
            <w:pPr>
              <w:widowControl/>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3264">
            <w:pPr>
              <w:widowControl/>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r>
      <w:tr w14:paraId="74C51CE8">
        <w:tblPrEx>
          <w:tblCellMar>
            <w:top w:w="0" w:type="dxa"/>
            <w:left w:w="108" w:type="dxa"/>
            <w:bottom w:w="0" w:type="dxa"/>
            <w:right w:w="108" w:type="dxa"/>
          </w:tblCellMar>
        </w:tblPrEx>
        <w:trPr>
          <w:trHeight w:val="352"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D9EF44">
            <w:pPr>
              <w:widowControl/>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D57EB">
            <w:pPr>
              <w:widowControl/>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CFAA">
            <w:pPr>
              <w:widowControl/>
              <w:jc w:val="center"/>
              <w:textAlignment w:val="center"/>
              <w:rPr>
                <w:rFonts w:ascii="宋体" w:hAnsi="宋体" w:cs="宋体"/>
                <w:color w:val="000000"/>
                <w:sz w:val="18"/>
                <w:szCs w:val="18"/>
              </w:rPr>
            </w:pPr>
            <w:r>
              <w:rPr>
                <w:rFonts w:ascii="宋体" w:hAnsi="宋体" w:cs="宋体"/>
                <w:color w:val="000000"/>
                <w:kern w:val="0"/>
                <w:sz w:val="18"/>
                <w:szCs w:val="18"/>
              </w:rPr>
              <w:t>培养示范户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7C4D">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0898">
            <w:pPr>
              <w:widowControl/>
              <w:jc w:val="center"/>
              <w:textAlignment w:val="center"/>
              <w:rPr>
                <w:rFonts w:ascii="宋体" w:hAnsi="宋体" w:cs="宋体"/>
                <w:sz w:val="18"/>
                <w:szCs w:val="18"/>
              </w:rPr>
            </w:pPr>
            <w:r>
              <w:rPr>
                <w:rFonts w:ascii="宋体" w:hAnsi="宋体" w:cs="宋体"/>
                <w:kern w:val="0"/>
                <w:sz w:val="18"/>
                <w:szCs w:val="18"/>
              </w:rPr>
              <w:t>17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9DC8">
            <w:pPr>
              <w:widowControl/>
              <w:jc w:val="center"/>
              <w:textAlignment w:val="center"/>
              <w:rPr>
                <w:rFonts w:ascii="宋体" w:hAnsi="宋体" w:cs="宋体"/>
                <w:color w:val="000000"/>
                <w:sz w:val="18"/>
                <w:szCs w:val="18"/>
              </w:rPr>
            </w:pPr>
            <w:r>
              <w:rPr>
                <w:rFonts w:ascii="宋体" w:hAnsi="宋体" w:cs="宋体"/>
                <w:color w:val="000000"/>
                <w:kern w:val="0"/>
                <w:sz w:val="18"/>
                <w:szCs w:val="18"/>
              </w:rPr>
              <w:t>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FA25">
            <w:pPr>
              <w:jc w:val="center"/>
              <w:rPr>
                <w:rFonts w:ascii="微软雅黑" w:hAnsi="微软雅黑" w:eastAsia="微软雅黑" w:cs="微软雅黑"/>
                <w:i/>
                <w:color w:val="000000"/>
                <w:sz w:val="16"/>
                <w:szCs w:val="16"/>
              </w:rPr>
            </w:pPr>
            <w:r>
              <w:rPr>
                <w:rFonts w:hint="eastAsia" w:ascii="宋体" w:hAnsi="宋体" w:cs="宋体"/>
                <w:color w:val="000000"/>
                <w:sz w:val="18"/>
                <w:szCs w:val="18"/>
              </w:rPr>
              <w:t>177</w:t>
            </w:r>
          </w:p>
        </w:tc>
      </w:tr>
      <w:tr w14:paraId="3FC34654">
        <w:tblPrEx>
          <w:tblCellMar>
            <w:top w:w="0" w:type="dxa"/>
            <w:left w:w="108" w:type="dxa"/>
            <w:bottom w:w="0" w:type="dxa"/>
            <w:right w:w="108" w:type="dxa"/>
          </w:tblCellMar>
        </w:tblPrEx>
        <w:trPr>
          <w:trHeight w:val="35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C46AA"/>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CD3D"/>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F831">
            <w:pPr>
              <w:widowControl/>
              <w:jc w:val="center"/>
              <w:textAlignment w:val="center"/>
              <w:rPr>
                <w:rFonts w:ascii="宋体" w:hAnsi="宋体" w:cs="宋体"/>
                <w:color w:val="000000"/>
                <w:sz w:val="18"/>
                <w:szCs w:val="18"/>
              </w:rPr>
            </w:pPr>
            <w:r>
              <w:rPr>
                <w:rFonts w:ascii="宋体" w:hAnsi="宋体" w:cs="宋体"/>
                <w:color w:val="000000"/>
                <w:kern w:val="0"/>
                <w:sz w:val="18"/>
                <w:szCs w:val="18"/>
              </w:rPr>
              <w:t>培养技术骨干</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53E2">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04A3">
            <w:pPr>
              <w:widowControl/>
              <w:jc w:val="center"/>
              <w:textAlignment w:val="center"/>
              <w:rPr>
                <w:rFonts w:ascii="宋体" w:hAnsi="宋体" w:cs="宋体"/>
                <w:color w:val="000000"/>
                <w:sz w:val="18"/>
                <w:szCs w:val="18"/>
              </w:rPr>
            </w:pPr>
            <w:r>
              <w:rPr>
                <w:rFonts w:ascii="宋体" w:hAnsi="宋体" w:cs="宋体"/>
                <w:color w:val="000000"/>
                <w:kern w:val="0"/>
                <w:sz w:val="18"/>
                <w:szCs w:val="18"/>
              </w:rPr>
              <w:t>19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91A0">
            <w:pPr>
              <w:widowControl/>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1EDB">
            <w:pPr>
              <w:jc w:val="center"/>
              <w:rPr>
                <w:rFonts w:ascii="微软雅黑" w:hAnsi="微软雅黑" w:eastAsia="微软雅黑" w:cs="微软雅黑"/>
                <w:i/>
                <w:color w:val="000000"/>
                <w:sz w:val="16"/>
                <w:szCs w:val="16"/>
              </w:rPr>
            </w:pPr>
            <w:r>
              <w:rPr>
                <w:rFonts w:hint="eastAsia" w:ascii="宋体" w:hAnsi="宋体" w:cs="宋体"/>
                <w:color w:val="000000"/>
                <w:sz w:val="18"/>
                <w:szCs w:val="18"/>
              </w:rPr>
              <w:t>18</w:t>
            </w:r>
          </w:p>
        </w:tc>
      </w:tr>
      <w:tr w14:paraId="6F0D63F5">
        <w:tblPrEx>
          <w:tblCellMar>
            <w:top w:w="0" w:type="dxa"/>
            <w:left w:w="108" w:type="dxa"/>
            <w:bottom w:w="0" w:type="dxa"/>
            <w:right w:w="108" w:type="dxa"/>
          </w:tblCellMar>
        </w:tblPrEx>
        <w:trPr>
          <w:trHeight w:val="35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3EF10"/>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33A85"/>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9613">
            <w:pPr>
              <w:widowControl/>
              <w:jc w:val="center"/>
              <w:textAlignment w:val="center"/>
              <w:rPr>
                <w:rFonts w:ascii="宋体" w:hAnsi="宋体" w:cs="宋体"/>
                <w:color w:val="000000"/>
                <w:sz w:val="18"/>
                <w:szCs w:val="18"/>
              </w:rPr>
            </w:pPr>
            <w:r>
              <w:rPr>
                <w:rFonts w:ascii="宋体" w:hAnsi="宋体" w:cs="宋体"/>
                <w:color w:val="000000"/>
                <w:kern w:val="0"/>
                <w:sz w:val="18"/>
                <w:szCs w:val="18"/>
              </w:rPr>
              <w:t>示范推广新品种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1545">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53CD">
            <w:pPr>
              <w:widowControl/>
              <w:jc w:val="center"/>
              <w:textAlignment w:val="center"/>
              <w:rPr>
                <w:rFonts w:ascii="宋体" w:hAnsi="宋体" w:cs="宋体"/>
                <w:color w:val="000000"/>
                <w:sz w:val="18"/>
                <w:szCs w:val="18"/>
              </w:rPr>
            </w:pPr>
            <w:r>
              <w:rPr>
                <w:rFonts w:ascii="宋体" w:hAnsi="宋体" w:cs="宋体"/>
                <w:color w:val="000000"/>
                <w:kern w:val="0"/>
                <w:sz w:val="18"/>
                <w:szCs w:val="18"/>
              </w:rPr>
              <w:t>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2FCF">
            <w:pPr>
              <w:widowControl/>
              <w:jc w:val="center"/>
              <w:textAlignment w:val="center"/>
              <w:rPr>
                <w:rFonts w:ascii="宋体" w:hAnsi="宋体" w:cs="宋体"/>
                <w:color w:val="000000"/>
                <w:sz w:val="18"/>
                <w:szCs w:val="18"/>
              </w:rPr>
            </w:pPr>
            <w:r>
              <w:rPr>
                <w:rFonts w:ascii="宋体" w:hAnsi="宋体" w:cs="宋体"/>
                <w:color w:val="000000"/>
                <w:kern w:val="0"/>
                <w:sz w:val="18"/>
                <w:szCs w:val="18"/>
              </w:rPr>
              <w:t>个</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76E4">
            <w:pPr>
              <w:jc w:val="center"/>
              <w:rPr>
                <w:rFonts w:ascii="微软雅黑" w:hAnsi="微软雅黑" w:eastAsia="微软雅黑" w:cs="微软雅黑"/>
                <w:i/>
                <w:color w:val="000000"/>
                <w:sz w:val="16"/>
                <w:szCs w:val="16"/>
              </w:rPr>
            </w:pPr>
            <w:r>
              <w:rPr>
                <w:rFonts w:hint="eastAsia" w:ascii="宋体" w:hAnsi="宋体" w:cs="宋体"/>
                <w:color w:val="000000"/>
                <w:sz w:val="18"/>
                <w:szCs w:val="18"/>
              </w:rPr>
              <w:t>17</w:t>
            </w:r>
          </w:p>
        </w:tc>
      </w:tr>
      <w:tr w14:paraId="51F559D5">
        <w:tblPrEx>
          <w:tblCellMar>
            <w:top w:w="0" w:type="dxa"/>
            <w:left w:w="108" w:type="dxa"/>
            <w:bottom w:w="0" w:type="dxa"/>
            <w:right w:w="108" w:type="dxa"/>
          </w:tblCellMar>
        </w:tblPrEx>
        <w:trPr>
          <w:trHeight w:val="35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233B"/>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0A3A0">
            <w:pPr>
              <w:widowControl/>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8CA0">
            <w:pPr>
              <w:widowControl/>
              <w:jc w:val="center"/>
              <w:textAlignment w:val="center"/>
              <w:rPr>
                <w:rFonts w:ascii="宋体" w:hAnsi="宋体" w:cs="宋体"/>
                <w:color w:val="000000"/>
                <w:sz w:val="18"/>
                <w:szCs w:val="18"/>
              </w:rPr>
            </w:pPr>
            <w:r>
              <w:rPr>
                <w:rFonts w:ascii="宋体" w:hAnsi="宋体" w:cs="宋体"/>
                <w:color w:val="000000"/>
                <w:kern w:val="0"/>
                <w:sz w:val="18"/>
                <w:szCs w:val="18"/>
              </w:rPr>
              <w:t>指导培训农民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189A">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D287">
            <w:pPr>
              <w:widowControl/>
              <w:jc w:val="center"/>
              <w:textAlignment w:val="center"/>
              <w:rPr>
                <w:rFonts w:ascii="宋体" w:hAnsi="宋体" w:cs="宋体"/>
                <w:color w:val="000000"/>
                <w:sz w:val="18"/>
                <w:szCs w:val="18"/>
              </w:rPr>
            </w:pPr>
            <w:r>
              <w:rPr>
                <w:rFonts w:ascii="宋体" w:hAnsi="宋体" w:cs="宋体"/>
                <w:color w:val="000000"/>
                <w:kern w:val="0"/>
                <w:sz w:val="18"/>
                <w:szCs w:val="18"/>
              </w:rPr>
              <w:t>900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537E">
            <w:pPr>
              <w:widowControl/>
              <w:jc w:val="center"/>
              <w:textAlignment w:val="center"/>
              <w:rPr>
                <w:rFonts w:ascii="宋体" w:hAnsi="宋体" w:cs="宋体"/>
                <w:color w:val="000000"/>
                <w:sz w:val="18"/>
                <w:szCs w:val="18"/>
              </w:rPr>
            </w:pPr>
            <w:r>
              <w:rPr>
                <w:rFonts w:ascii="宋体" w:hAnsi="宋体" w:cs="宋体"/>
                <w:color w:val="000000"/>
                <w:kern w:val="0"/>
                <w:sz w:val="18"/>
                <w:szCs w:val="18"/>
              </w:rPr>
              <w:t>人次</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6AA9">
            <w:pPr>
              <w:jc w:val="center"/>
              <w:rPr>
                <w:rFonts w:ascii="宋体" w:hAnsi="宋体" w:cs="宋体"/>
                <w:color w:val="000000"/>
                <w:sz w:val="18"/>
                <w:szCs w:val="18"/>
              </w:rPr>
            </w:pPr>
            <w:r>
              <w:rPr>
                <w:rFonts w:hint="eastAsia" w:ascii="宋体" w:hAnsi="宋体" w:cs="宋体"/>
                <w:color w:val="000000"/>
                <w:sz w:val="18"/>
                <w:szCs w:val="18"/>
              </w:rPr>
              <w:t>1250</w:t>
            </w:r>
          </w:p>
        </w:tc>
      </w:tr>
      <w:tr w14:paraId="546A6A6B">
        <w:tblPrEx>
          <w:tblCellMar>
            <w:top w:w="0" w:type="dxa"/>
            <w:left w:w="108" w:type="dxa"/>
            <w:bottom w:w="0" w:type="dxa"/>
            <w:right w:w="108" w:type="dxa"/>
          </w:tblCellMar>
        </w:tblPrEx>
        <w:trPr>
          <w:trHeight w:val="35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A7F4"/>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50763"/>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915D">
            <w:pPr>
              <w:widowControl/>
              <w:jc w:val="center"/>
              <w:textAlignment w:val="center"/>
              <w:rPr>
                <w:rFonts w:ascii="宋体" w:hAnsi="宋体" w:cs="宋体"/>
                <w:color w:val="000000"/>
                <w:sz w:val="18"/>
                <w:szCs w:val="18"/>
              </w:rPr>
            </w:pPr>
            <w:r>
              <w:rPr>
                <w:rFonts w:ascii="宋体" w:hAnsi="宋体" w:cs="宋体"/>
                <w:color w:val="000000"/>
                <w:kern w:val="0"/>
                <w:sz w:val="18"/>
                <w:szCs w:val="18"/>
              </w:rPr>
              <w:t>示范推广新技术、新方法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2C10">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A83A">
            <w:pPr>
              <w:widowControl/>
              <w:jc w:val="center"/>
              <w:textAlignment w:val="center"/>
              <w:rPr>
                <w:rFonts w:ascii="宋体" w:hAnsi="宋体" w:cs="宋体"/>
                <w:color w:val="000000"/>
                <w:sz w:val="18"/>
                <w:szCs w:val="18"/>
              </w:rPr>
            </w:pPr>
            <w:r>
              <w:rPr>
                <w:rFonts w:ascii="宋体" w:hAnsi="宋体" w:cs="宋体"/>
                <w:color w:val="000000"/>
                <w:kern w:val="0"/>
                <w:sz w:val="18"/>
                <w:szCs w:val="18"/>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9F3D">
            <w:pPr>
              <w:widowControl/>
              <w:jc w:val="center"/>
              <w:textAlignment w:val="center"/>
              <w:rPr>
                <w:rFonts w:ascii="宋体" w:hAnsi="宋体" w:cs="宋体"/>
                <w:color w:val="000000"/>
                <w:sz w:val="18"/>
                <w:szCs w:val="18"/>
              </w:rPr>
            </w:pPr>
            <w:r>
              <w:rPr>
                <w:rFonts w:ascii="宋体" w:hAnsi="宋体" w:cs="宋体"/>
                <w:color w:val="000000"/>
                <w:kern w:val="0"/>
                <w:sz w:val="18"/>
                <w:szCs w:val="18"/>
              </w:rPr>
              <w:t>套</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0282">
            <w:pPr>
              <w:jc w:val="center"/>
              <w:rPr>
                <w:rFonts w:ascii="微软雅黑" w:hAnsi="微软雅黑" w:eastAsia="微软雅黑" w:cs="微软雅黑"/>
                <w:i/>
                <w:color w:val="000000"/>
                <w:sz w:val="16"/>
                <w:szCs w:val="16"/>
              </w:rPr>
            </w:pPr>
            <w:r>
              <w:rPr>
                <w:rFonts w:hint="eastAsia" w:ascii="宋体" w:hAnsi="宋体" w:cs="宋体"/>
                <w:color w:val="000000"/>
                <w:sz w:val="18"/>
                <w:szCs w:val="18"/>
              </w:rPr>
              <w:t>10</w:t>
            </w:r>
          </w:p>
        </w:tc>
      </w:tr>
      <w:tr w14:paraId="7B2F33F9">
        <w:tblPrEx>
          <w:tblCellMar>
            <w:top w:w="0" w:type="dxa"/>
            <w:left w:w="108" w:type="dxa"/>
            <w:bottom w:w="0" w:type="dxa"/>
            <w:right w:w="108" w:type="dxa"/>
          </w:tblCellMar>
        </w:tblPrEx>
        <w:trPr>
          <w:trHeight w:val="35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B60C"/>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73B9">
            <w:pPr>
              <w:widowControl/>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3870">
            <w:pPr>
              <w:widowControl/>
              <w:jc w:val="center"/>
              <w:textAlignment w:val="center"/>
              <w:rPr>
                <w:rFonts w:ascii="宋体" w:hAnsi="宋体" w:cs="宋体"/>
                <w:color w:val="000000"/>
                <w:sz w:val="18"/>
                <w:szCs w:val="18"/>
              </w:rPr>
            </w:pPr>
            <w:r>
              <w:rPr>
                <w:rFonts w:ascii="宋体" w:hAnsi="宋体" w:cs="宋体"/>
                <w:color w:val="000000"/>
                <w:kern w:val="0"/>
                <w:sz w:val="18"/>
                <w:szCs w:val="18"/>
              </w:rPr>
              <w:t>一年内完成</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2A4E">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0A0A">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1ABE">
            <w:pPr>
              <w:widowControl/>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C7C8">
            <w:pPr>
              <w:jc w:val="center"/>
              <w:rPr>
                <w:rFonts w:ascii="微软雅黑" w:hAnsi="微软雅黑" w:eastAsia="微软雅黑" w:cs="微软雅黑"/>
                <w:i/>
                <w:color w:val="000000"/>
                <w:sz w:val="16"/>
                <w:szCs w:val="16"/>
              </w:rPr>
            </w:pPr>
            <w:r>
              <w:rPr>
                <w:rFonts w:ascii="宋体" w:hAnsi="宋体" w:cs="宋体"/>
                <w:color w:val="000000"/>
                <w:kern w:val="0"/>
                <w:sz w:val="18"/>
                <w:szCs w:val="18"/>
              </w:rPr>
              <w:t>1</w:t>
            </w:r>
          </w:p>
        </w:tc>
      </w:tr>
      <w:tr w14:paraId="4EBB3E23">
        <w:tblPrEx>
          <w:tblCellMar>
            <w:top w:w="0" w:type="dxa"/>
            <w:left w:w="108" w:type="dxa"/>
            <w:bottom w:w="0" w:type="dxa"/>
            <w:right w:w="108" w:type="dxa"/>
          </w:tblCellMar>
        </w:tblPrEx>
        <w:trPr>
          <w:trHeight w:val="640"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2C80C">
            <w:pPr>
              <w:widowControl/>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8E90">
            <w:pPr>
              <w:widowControl/>
              <w:jc w:val="center"/>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9601">
            <w:pPr>
              <w:widowControl/>
              <w:jc w:val="center"/>
              <w:textAlignment w:val="center"/>
              <w:rPr>
                <w:rFonts w:ascii="宋体" w:hAnsi="宋体" w:cs="宋体"/>
                <w:color w:val="000000"/>
                <w:sz w:val="18"/>
                <w:szCs w:val="18"/>
              </w:rPr>
            </w:pPr>
            <w:r>
              <w:rPr>
                <w:rFonts w:ascii="宋体" w:hAnsi="宋体" w:cs="宋体"/>
                <w:color w:val="000000"/>
                <w:kern w:val="0"/>
                <w:sz w:val="18"/>
                <w:szCs w:val="18"/>
              </w:rPr>
              <w:t>番茄新品种新技术示范亩产</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72D9">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C69D">
            <w:pPr>
              <w:widowControl/>
              <w:jc w:val="center"/>
              <w:textAlignment w:val="center"/>
              <w:rPr>
                <w:rFonts w:ascii="宋体" w:hAnsi="宋体" w:cs="宋体"/>
                <w:color w:val="000000"/>
                <w:sz w:val="18"/>
                <w:szCs w:val="18"/>
              </w:rPr>
            </w:pPr>
            <w:r>
              <w:rPr>
                <w:rFonts w:ascii="宋体" w:hAnsi="宋体" w:cs="宋体"/>
                <w:color w:val="000000"/>
                <w:kern w:val="0"/>
                <w:sz w:val="18"/>
                <w:szCs w:val="18"/>
              </w:rPr>
              <w:t>8000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9BA8">
            <w:pPr>
              <w:widowControl/>
              <w:jc w:val="center"/>
              <w:textAlignment w:val="center"/>
              <w:rPr>
                <w:rFonts w:ascii="宋体" w:hAnsi="宋体" w:cs="宋体"/>
                <w:color w:val="000000"/>
                <w:sz w:val="18"/>
                <w:szCs w:val="18"/>
              </w:rPr>
            </w:pPr>
            <w:r>
              <w:rPr>
                <w:rFonts w:ascii="宋体" w:hAnsi="宋体" w:cs="宋体"/>
                <w:color w:val="000000"/>
                <w:kern w:val="0"/>
                <w:sz w:val="18"/>
                <w:szCs w:val="18"/>
              </w:rPr>
              <w:t>公斤</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D22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9963.8</w:t>
            </w:r>
          </w:p>
        </w:tc>
      </w:tr>
      <w:tr w14:paraId="5D29FF91">
        <w:tblPrEx>
          <w:tblCellMar>
            <w:top w:w="0" w:type="dxa"/>
            <w:left w:w="108" w:type="dxa"/>
            <w:bottom w:w="0" w:type="dxa"/>
            <w:right w:w="108" w:type="dxa"/>
          </w:tblCellMar>
        </w:tblPrEx>
        <w:trPr>
          <w:trHeight w:val="797"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62018"/>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76B3">
            <w:pPr>
              <w:widowControl/>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98F0">
            <w:pPr>
              <w:widowControl/>
              <w:jc w:val="center"/>
              <w:textAlignment w:val="center"/>
              <w:rPr>
                <w:rFonts w:ascii="宋体" w:hAnsi="宋体" w:cs="宋体"/>
                <w:color w:val="000000"/>
                <w:sz w:val="18"/>
                <w:szCs w:val="18"/>
              </w:rPr>
            </w:pPr>
            <w:r>
              <w:rPr>
                <w:rFonts w:ascii="宋体" w:hAnsi="宋体" w:cs="宋体"/>
                <w:color w:val="000000"/>
                <w:kern w:val="0"/>
                <w:sz w:val="18"/>
                <w:szCs w:val="18"/>
              </w:rPr>
              <w:t>举办技术培训，开展技术指导，指导建立试验示范基地，培养技术骨干人才、科技示范户。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2D91">
            <w:pPr>
              <w:widowControl/>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CB57">
            <w:pPr>
              <w:widowControl/>
              <w:jc w:val="center"/>
              <w:textAlignment w:val="center"/>
              <w:rPr>
                <w:rFonts w:ascii="宋体" w:hAnsi="宋体" w:cs="宋体"/>
                <w:color w:val="000000"/>
                <w:sz w:val="18"/>
                <w:szCs w:val="18"/>
              </w:rPr>
            </w:pPr>
            <w:r>
              <w:rPr>
                <w:rFonts w:ascii="宋体" w:hAnsi="宋体" w:cs="宋体"/>
                <w:color w:val="000000"/>
                <w:kern w:val="0"/>
                <w:sz w:val="18"/>
                <w:szCs w:val="18"/>
              </w:rPr>
              <w:t>通过项目实施，培养技术骨干人才、科技示范户，提升其栽培管理水平，提高科技示范户的芒果栽培技术及病虫害管理水平，节本增收。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28B2">
            <w:pPr>
              <w:jc w:val="center"/>
              <w:rPr>
                <w:rFonts w:ascii="宋体" w:hAnsi="宋体" w:cs="宋体"/>
                <w:color w:val="000000"/>
                <w:sz w:val="18"/>
                <w:szCs w:val="18"/>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BE6D">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团队人员到区县服务</w:t>
            </w:r>
            <w:r>
              <w:rPr>
                <w:rFonts w:hint="eastAsia" w:ascii="宋体" w:hAnsi="宋体" w:cs="宋体"/>
                <w:color w:val="000000"/>
                <w:kern w:val="0"/>
                <w:sz w:val="18"/>
                <w:szCs w:val="18"/>
              </w:rPr>
              <w:t>148天，完成调研报告1篇，集中培训38期，现场指导122次，培养示范户177户，技术骨干18人，建设示范基地9个，推广新技术10项。</w:t>
            </w:r>
          </w:p>
          <w:p w14:paraId="1FF90C50">
            <w:pPr>
              <w:jc w:val="center"/>
              <w:rPr>
                <w:rFonts w:ascii="微软雅黑" w:hAnsi="微软雅黑" w:eastAsia="微软雅黑" w:cs="微软雅黑"/>
                <w:i/>
                <w:color w:val="000000"/>
                <w:sz w:val="16"/>
                <w:szCs w:val="16"/>
              </w:rPr>
            </w:pPr>
          </w:p>
        </w:tc>
      </w:tr>
      <w:tr w14:paraId="1F0143C9">
        <w:tblPrEx>
          <w:tblCellMar>
            <w:top w:w="0" w:type="dxa"/>
            <w:left w:w="108" w:type="dxa"/>
            <w:bottom w:w="0" w:type="dxa"/>
            <w:right w:w="108" w:type="dxa"/>
          </w:tblCellMar>
        </w:tblPrEx>
        <w:trPr>
          <w:trHeight w:val="6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4940">
            <w:pPr>
              <w:widowControl/>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796B">
            <w:pPr>
              <w:widowControl/>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7C1A">
            <w:pPr>
              <w:widowControl/>
              <w:jc w:val="center"/>
              <w:textAlignment w:val="center"/>
              <w:rPr>
                <w:rFonts w:ascii="宋体" w:hAnsi="宋体" w:cs="宋体"/>
                <w:color w:val="000000"/>
                <w:sz w:val="18"/>
                <w:szCs w:val="18"/>
              </w:rPr>
            </w:pPr>
            <w:r>
              <w:rPr>
                <w:rFonts w:ascii="宋体" w:hAnsi="宋体" w:cs="宋体"/>
                <w:color w:val="000000"/>
                <w:kern w:val="0"/>
                <w:sz w:val="18"/>
                <w:szCs w:val="18"/>
              </w:rPr>
              <w:t>农户满意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43D4">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1BD6">
            <w:pPr>
              <w:widowControl/>
              <w:jc w:val="center"/>
              <w:textAlignment w:val="center"/>
              <w:rPr>
                <w:rFonts w:ascii="宋体" w:hAnsi="宋体" w:cs="宋体"/>
                <w:color w:val="000000"/>
                <w:sz w:val="18"/>
                <w:szCs w:val="18"/>
              </w:rPr>
            </w:pPr>
            <w:r>
              <w:rPr>
                <w:rFonts w:ascii="宋体" w:hAnsi="宋体" w:cs="宋体"/>
                <w:color w:val="000000"/>
                <w:kern w:val="0"/>
                <w:sz w:val="18"/>
                <w:szCs w:val="18"/>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26DF">
            <w:pPr>
              <w:widowControl/>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4D92">
            <w:pPr>
              <w:jc w:val="center"/>
              <w:rPr>
                <w:rFonts w:ascii="微软雅黑" w:hAnsi="微软雅黑" w:eastAsia="微软雅黑" w:cs="微软雅黑"/>
                <w:i/>
                <w:color w:val="000000"/>
                <w:sz w:val="16"/>
                <w:szCs w:val="16"/>
              </w:rPr>
            </w:pPr>
            <w:r>
              <w:rPr>
                <w:rFonts w:hint="eastAsia" w:ascii="宋体" w:hAnsi="宋体" w:cs="宋体"/>
                <w:color w:val="000000"/>
                <w:kern w:val="0"/>
                <w:sz w:val="18"/>
                <w:szCs w:val="18"/>
              </w:rPr>
              <w:t>95</w:t>
            </w:r>
          </w:p>
        </w:tc>
      </w:tr>
    </w:tbl>
    <w:p w14:paraId="5BE76BAC">
      <w:pPr>
        <w:spacing w:line="578" w:lineRule="exact"/>
        <w:ind w:firstLine="640"/>
        <w:rPr>
          <w:rFonts w:eastAsia="仿宋_GB2312" w:cs="仿宋_GB2312"/>
          <w:kern w:val="0"/>
          <w:sz w:val="32"/>
          <w:szCs w:val="32"/>
        </w:rPr>
      </w:pPr>
    </w:p>
    <w:p w14:paraId="16F34DBE">
      <w:pPr>
        <w:pStyle w:val="39"/>
        <w:spacing w:before="0" w:beforeAutospacing="0" w:after="0" w:afterAutospacing="0" w:line="600" w:lineRule="exact"/>
        <w:ind w:firstLine="720"/>
        <w:jc w:val="both"/>
        <w:rPr>
          <w:rFonts w:eastAsia="仿宋_GB2312" w:cs="仿宋_GB2312"/>
          <w:sz w:val="32"/>
          <w:szCs w:val="32"/>
        </w:rPr>
      </w:pPr>
      <w:r>
        <w:rPr>
          <w:rFonts w:ascii="黑体" w:hAnsi="黑体" w:eastAsia="黑体"/>
          <w:color w:val="000000"/>
          <w:sz w:val="32"/>
          <w:szCs w:val="32"/>
        </w:rPr>
        <w:t>四、项目绩效情况</w:t>
      </w:r>
    </w:p>
    <w:p w14:paraId="0C18D355">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0C96B88F">
      <w:pPr>
        <w:spacing w:line="578" w:lineRule="exact"/>
        <w:ind w:firstLine="640"/>
        <w:rPr>
          <w:rFonts w:eastAsia="仿宋_GB2312" w:cs="仿宋_GB2312"/>
          <w:kern w:val="0"/>
          <w:sz w:val="32"/>
          <w:szCs w:val="32"/>
        </w:rPr>
      </w:pPr>
      <w:r>
        <w:rPr>
          <w:rFonts w:eastAsia="仿宋_GB2312" w:cs="仿宋_GB2312"/>
          <w:kern w:val="0"/>
          <w:sz w:val="32"/>
          <w:szCs w:val="32"/>
        </w:rPr>
        <w:t>团队人员到区县服务</w:t>
      </w:r>
      <w:r>
        <w:rPr>
          <w:rFonts w:hint="eastAsia" w:eastAsia="仿宋_GB2312" w:cs="仿宋_GB2312"/>
          <w:kern w:val="0"/>
          <w:sz w:val="32"/>
          <w:szCs w:val="32"/>
        </w:rPr>
        <w:t>148天，完成调研报告1篇，集中培训38期，现场指导122次，培养示范户177户，技术骨干18人，建设示范基地9个，推广新技术10项。全面完成年度任务。</w:t>
      </w:r>
    </w:p>
    <w:p w14:paraId="2116C6E4">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5F0DE539">
      <w:pPr>
        <w:spacing w:line="578" w:lineRule="exact"/>
        <w:ind w:firstLine="640"/>
        <w:rPr>
          <w:rFonts w:eastAsia="仿宋_GB2312" w:cs="仿宋_GB2312"/>
          <w:kern w:val="0"/>
          <w:sz w:val="32"/>
          <w:szCs w:val="32"/>
        </w:rPr>
      </w:pPr>
      <w:r>
        <w:rPr>
          <w:rFonts w:eastAsia="仿宋_GB2312" w:cs="仿宋_GB2312"/>
          <w:kern w:val="0"/>
          <w:sz w:val="32"/>
          <w:szCs w:val="32"/>
        </w:rPr>
        <w:t>通过</w:t>
      </w:r>
      <w:r>
        <w:rPr>
          <w:rFonts w:hint="eastAsia" w:eastAsia="仿宋_GB2312" w:cs="仿宋_GB2312"/>
          <w:kern w:val="0"/>
          <w:sz w:val="32"/>
          <w:szCs w:val="32"/>
        </w:rPr>
        <w:t>现场指导、培养示范户、技术骨干</w:t>
      </w:r>
      <w:r>
        <w:rPr>
          <w:rFonts w:eastAsia="仿宋_GB2312" w:cs="仿宋_GB2312"/>
          <w:kern w:val="0"/>
          <w:sz w:val="32"/>
          <w:szCs w:val="32"/>
        </w:rPr>
        <w:t>，提升其栽培技术水平，</w:t>
      </w:r>
      <w:r>
        <w:rPr>
          <w:rFonts w:hint="eastAsia" w:eastAsia="仿宋_GB2312" w:cs="仿宋_GB2312"/>
          <w:kern w:val="0"/>
          <w:sz w:val="32"/>
          <w:szCs w:val="32"/>
        </w:rPr>
        <w:t>示范带动作用强。</w:t>
      </w:r>
      <w:r>
        <w:rPr>
          <w:rFonts w:eastAsia="仿宋_GB2312" w:cs="仿宋_GB2312"/>
          <w:kern w:val="0"/>
          <w:sz w:val="32"/>
          <w:szCs w:val="32"/>
        </w:rPr>
        <w:t>通过</w:t>
      </w:r>
      <w:r>
        <w:rPr>
          <w:rFonts w:hint="eastAsia" w:eastAsia="仿宋_GB2312" w:cs="仿宋_GB2312"/>
          <w:kern w:val="0"/>
          <w:sz w:val="32"/>
          <w:szCs w:val="32"/>
        </w:rPr>
        <w:t>示范基地建设，推广新品种新技术，产业技术推动效果好，群众满意度高。</w:t>
      </w:r>
      <w:r>
        <w:rPr>
          <w:rFonts w:eastAsia="仿宋_GB2312" w:cs="仿宋_GB2312"/>
          <w:kern w:val="0"/>
          <w:sz w:val="32"/>
          <w:szCs w:val="32"/>
        </w:rPr>
        <w:t>通过</w:t>
      </w:r>
      <w:r>
        <w:rPr>
          <w:rFonts w:hint="eastAsia" w:eastAsia="仿宋_GB2312" w:cs="仿宋_GB2312"/>
          <w:kern w:val="0"/>
          <w:sz w:val="32"/>
          <w:szCs w:val="32"/>
        </w:rPr>
        <w:t>调研、咨询服务，为当地蔬菜产业争取了项目发展资金，推动产业转型发展。通过现场观摩会、攀西稻菜轮作区设施蔬菜技术交流会的举办，扩大了攀枝花蔬菜产业影响。</w:t>
      </w:r>
      <w:r>
        <w:rPr>
          <w:rFonts w:eastAsia="仿宋_GB2312" w:cs="仿宋_GB2312"/>
          <w:kern w:val="0"/>
          <w:sz w:val="32"/>
          <w:szCs w:val="32"/>
        </w:rPr>
        <w:t>项目经济、社会、生态、可持续效益</w:t>
      </w:r>
      <w:r>
        <w:rPr>
          <w:rFonts w:hint="eastAsia" w:eastAsia="仿宋_GB2312" w:cs="仿宋_GB2312"/>
          <w:kern w:val="0"/>
          <w:sz w:val="32"/>
          <w:szCs w:val="32"/>
        </w:rPr>
        <w:t>突出。</w:t>
      </w:r>
    </w:p>
    <w:p w14:paraId="570DDF28">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10BE115C">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58A02D10">
      <w:pPr>
        <w:spacing w:line="578" w:lineRule="exact"/>
        <w:ind w:firstLine="640"/>
        <w:rPr>
          <w:rFonts w:eastAsia="仿宋_GB2312" w:cs="仿宋_GB2312"/>
          <w:kern w:val="0"/>
          <w:sz w:val="32"/>
          <w:szCs w:val="32"/>
        </w:rPr>
      </w:pPr>
      <w:r>
        <w:rPr>
          <w:rFonts w:hint="eastAsia" w:eastAsia="仿宋_GB2312" w:cs="仿宋_GB2312"/>
          <w:kern w:val="0"/>
          <w:sz w:val="32"/>
          <w:szCs w:val="32"/>
        </w:rPr>
        <w:t>综合项目各方面情况，该项目在实施过程中，管理规范、资金使用合理、绩效目标完成情况良好，在推动蔬菜产业发展、人才培养等方面取得了显著成效，项目进展良好，整体绩效评价为良好。</w:t>
      </w:r>
    </w:p>
    <w:p w14:paraId="0DB3EBEE">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46131A40">
      <w:pPr>
        <w:spacing w:line="578" w:lineRule="exact"/>
        <w:ind w:firstLine="640"/>
        <w:rPr>
          <w:rFonts w:eastAsia="仿宋_GB2312" w:cs="仿宋_GB2312"/>
          <w:kern w:val="0"/>
          <w:sz w:val="32"/>
          <w:szCs w:val="32"/>
        </w:rPr>
      </w:pPr>
      <w:r>
        <w:rPr>
          <w:rFonts w:hint="eastAsia" w:eastAsia="仿宋_GB2312" w:cs="仿宋_GB2312"/>
          <w:kern w:val="0"/>
          <w:sz w:val="32"/>
          <w:szCs w:val="32"/>
        </w:rPr>
        <w:t>因专家团队成员来自不同单位，报帐存在滞后。</w:t>
      </w:r>
    </w:p>
    <w:p w14:paraId="491CC604">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33820633">
      <w:pPr>
        <w:spacing w:line="578" w:lineRule="exact"/>
        <w:ind w:firstLine="640"/>
        <w:rPr>
          <w:rFonts w:eastAsia="仿宋_GB2312" w:cs="仿宋_GB2312"/>
          <w:kern w:val="0"/>
          <w:sz w:val="32"/>
          <w:szCs w:val="32"/>
        </w:rPr>
      </w:pPr>
      <w:r>
        <w:rPr>
          <w:rFonts w:hint="eastAsia" w:eastAsia="仿宋_GB2312" w:cs="仿宋_GB2312"/>
          <w:kern w:val="0"/>
          <w:sz w:val="32"/>
          <w:szCs w:val="32"/>
        </w:rPr>
        <w:t>1、为进一步提高团队专家工作积极性，建议在团队资金中设置一定比例的绩效资金，用于激励工作成效突出的专家。</w:t>
      </w:r>
    </w:p>
    <w:p w14:paraId="1B5D8CFA">
      <w:pPr>
        <w:spacing w:line="578" w:lineRule="exact"/>
        <w:ind w:firstLine="640"/>
        <w:rPr>
          <w:rFonts w:eastAsia="仿宋_GB2312" w:cs="仿宋_GB2312"/>
          <w:kern w:val="0"/>
          <w:sz w:val="32"/>
          <w:szCs w:val="32"/>
        </w:rPr>
      </w:pPr>
      <w:r>
        <w:rPr>
          <w:rFonts w:hint="eastAsia" w:eastAsia="仿宋_GB2312" w:cs="仿宋_GB2312"/>
          <w:kern w:val="0"/>
          <w:sz w:val="32"/>
          <w:szCs w:val="32"/>
        </w:rPr>
        <w:t>2、建议将工作经费拨付到专家工作单位，有利于专家及时报帐。</w:t>
      </w:r>
    </w:p>
    <w:p w14:paraId="5399A1CB">
      <w:pPr>
        <w:spacing w:line="578" w:lineRule="exact"/>
        <w:ind w:firstLine="640"/>
        <w:jc w:val="center"/>
        <w:rPr>
          <w:rFonts w:ascii="方正小标宋简体" w:eastAsia="方正小标宋简体" w:cs="仿宋_GB2312"/>
          <w:kern w:val="0"/>
          <w:sz w:val="40"/>
          <w:szCs w:val="40"/>
        </w:rPr>
      </w:pPr>
      <w:r>
        <w:rPr>
          <w:rFonts w:ascii="方正小标宋简体" w:eastAsia="方正小标宋简体" w:cs="仿宋_GB2312"/>
          <w:kern w:val="0"/>
          <w:sz w:val="40"/>
          <w:szCs w:val="40"/>
        </w:rPr>
        <w:br w:type="page"/>
      </w:r>
    </w:p>
    <w:p w14:paraId="3823D573">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w:t>
      </w:r>
    </w:p>
    <w:p w14:paraId="5676B2F4">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四川省科技计划项目专项资金</w:t>
      </w:r>
    </w:p>
    <w:p w14:paraId="61372537">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6A4A63C5">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4228561B">
      <w:pPr>
        <w:spacing w:line="578" w:lineRule="exact"/>
        <w:ind w:firstLine="643" w:firstLineChars="200"/>
        <w:rPr>
          <w:rFonts w:eastAsia="仿宋_GB2312" w:cs="仿宋_GB2312"/>
          <w:b/>
          <w:kern w:val="0"/>
          <w:sz w:val="32"/>
          <w:szCs w:val="32"/>
        </w:rPr>
      </w:pPr>
      <w:r>
        <w:rPr>
          <w:rFonts w:hint="eastAsia" w:eastAsia="仿宋_GB2312" w:cs="仿宋_GB2312"/>
          <w:b/>
          <w:kern w:val="0"/>
          <w:sz w:val="32"/>
          <w:szCs w:val="32"/>
        </w:rPr>
        <w:t>1．说明项目主管部门（单位）在该项目管理中的职能。</w:t>
      </w:r>
    </w:p>
    <w:p w14:paraId="6A77C708">
      <w:pPr>
        <w:spacing w:line="578" w:lineRule="exact"/>
        <w:ind w:firstLine="640" w:firstLineChars="200"/>
        <w:rPr>
          <w:rFonts w:eastAsia="仿宋_GB2312" w:cs="仿宋_GB2312"/>
          <w:kern w:val="0"/>
          <w:sz w:val="32"/>
          <w:szCs w:val="32"/>
        </w:rPr>
      </w:pPr>
      <w:r>
        <w:rPr>
          <w:rFonts w:hint="eastAsia" w:eastAsia="仿宋_GB2312" w:cs="仿宋_GB2312"/>
          <w:kern w:val="0"/>
          <w:sz w:val="32"/>
          <w:szCs w:val="32"/>
        </w:rPr>
        <w:t>项目承担单位为攀枝花市农林科学研究院，负责项目的组织实施、督促项目组执行、按时申请验收，以及统筹资金使用、开展各项科普培训和宣传活动等工作。</w:t>
      </w:r>
    </w:p>
    <w:p w14:paraId="30AD0171">
      <w:pPr>
        <w:spacing w:line="578" w:lineRule="exact"/>
        <w:ind w:firstLine="640"/>
        <w:rPr>
          <w:rFonts w:eastAsia="仿宋_GB2312" w:cs="仿宋_GB2312"/>
          <w:kern w:val="0"/>
          <w:sz w:val="32"/>
          <w:szCs w:val="32"/>
        </w:rPr>
      </w:pPr>
      <w:r>
        <w:rPr>
          <w:rFonts w:hint="eastAsia" w:eastAsia="仿宋_GB2312" w:cs="仿宋_GB2312"/>
          <w:b/>
          <w:kern w:val="0"/>
          <w:sz w:val="32"/>
          <w:szCs w:val="32"/>
        </w:rPr>
        <w:t>2</w:t>
      </w:r>
      <w:r>
        <w:rPr>
          <w:rFonts w:eastAsia="仿宋_GB2312" w:cs="仿宋_GB2312"/>
          <w:b/>
          <w:kern w:val="0"/>
          <w:sz w:val="32"/>
          <w:szCs w:val="32"/>
        </w:rPr>
        <w:t>.</w:t>
      </w:r>
      <w:r>
        <w:rPr>
          <w:rFonts w:hint="eastAsia" w:eastAsia="仿宋_GB2312" w:cs="仿宋_GB2312"/>
          <w:b/>
          <w:kern w:val="0"/>
          <w:sz w:val="32"/>
          <w:szCs w:val="32"/>
        </w:rPr>
        <w:t>项目立项、资金申报的依据。</w:t>
      </w:r>
    </w:p>
    <w:p w14:paraId="1D501D21">
      <w:pPr>
        <w:spacing w:line="578" w:lineRule="exact"/>
        <w:ind w:firstLine="640"/>
        <w:rPr>
          <w:rFonts w:eastAsia="仿宋_GB2312" w:cs="仿宋_GB2312"/>
          <w:kern w:val="0"/>
          <w:sz w:val="32"/>
          <w:szCs w:val="32"/>
        </w:rPr>
      </w:pPr>
      <w:r>
        <w:rPr>
          <w:rFonts w:hint="eastAsia" w:eastAsia="仿宋_GB2312" w:cs="仿宋_GB2312"/>
          <w:kern w:val="0"/>
          <w:sz w:val="32"/>
          <w:szCs w:val="32"/>
        </w:rPr>
        <w:t>依据《四川省科技计划管理办法》《四川省科普培训项目任务书》（立项编号：2024JDKP0087），为推动民族地区农业现代化、落实乡村振兴战略而申报实施本项目。项目于 2024 年立项，执行时间为 2024 年 1 月 1 日至 2025 年 12 月 31 日，资金来源为财政专项经费 20 万元。</w:t>
      </w:r>
    </w:p>
    <w:p w14:paraId="19A050A4">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7024844A">
      <w:pPr>
        <w:spacing w:line="578" w:lineRule="exact"/>
        <w:ind w:firstLine="640"/>
        <w:rPr>
          <w:rFonts w:eastAsia="仿宋_GB2312" w:cs="仿宋_GB2312"/>
          <w:kern w:val="0"/>
          <w:sz w:val="32"/>
          <w:szCs w:val="32"/>
        </w:rPr>
      </w:pPr>
      <w:r>
        <w:rPr>
          <w:rFonts w:hint="eastAsia" w:eastAsia="仿宋_GB2312" w:cs="仿宋_GB2312"/>
          <w:kern w:val="0"/>
          <w:sz w:val="32"/>
          <w:szCs w:val="32"/>
        </w:rPr>
        <w:t>项目目标：总体目标为开展培训 4 次以上，覆盖 1000 人次，形成木里县重点农业自然灾害预警图1幅；木里的科普路线图1幅；农技科普传播者数据库（数据集）1个。培养备案 “天府科普使者” 20 名。</w:t>
      </w:r>
    </w:p>
    <w:p w14:paraId="1E004976">
      <w:pPr>
        <w:spacing w:line="578" w:lineRule="exact"/>
        <w:ind w:firstLine="640"/>
        <w:rPr>
          <w:rFonts w:eastAsia="仿宋_GB2312" w:cs="仿宋_GB2312"/>
          <w:kern w:val="0"/>
          <w:sz w:val="32"/>
          <w:szCs w:val="32"/>
        </w:rPr>
      </w:pPr>
      <w:r>
        <w:rPr>
          <w:rFonts w:hint="eastAsia" w:eastAsia="仿宋_GB2312" w:cs="仿宋_GB2312"/>
          <w:kern w:val="0"/>
          <w:sz w:val="32"/>
          <w:szCs w:val="32"/>
        </w:rPr>
        <w:t>核心考核指标：培训班总次数 4 次以上，培训总人数 1000 人次；项目实施后，可以通过农业主导产业技术提升和选代，提高民族地区的牧区农户的积极性，肉产品质量提升，产量提升10%以上。种植业的病虫害发生率降低1-2成以上。农产品品类扩充不低于10类，本地民族同胞的饮食结构得到优化，健康成本(为医药的投入)降低20%。</w:t>
      </w:r>
    </w:p>
    <w:p w14:paraId="6B83C0C2">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6B3A92CE">
      <w:pPr>
        <w:spacing w:line="578" w:lineRule="exact"/>
        <w:ind w:firstLine="640"/>
        <w:rPr>
          <w:rFonts w:eastAsia="仿宋_GB2312" w:cs="仿宋_GB2312"/>
          <w:kern w:val="0"/>
          <w:sz w:val="32"/>
          <w:szCs w:val="32"/>
        </w:rPr>
      </w:pPr>
      <w:r>
        <w:rPr>
          <w:rFonts w:eastAsia="仿宋_GB2312" w:cs="仿宋_GB2312"/>
          <w:kern w:val="0"/>
          <w:sz w:val="32"/>
          <w:szCs w:val="32"/>
        </w:rPr>
        <w:t>项目绩效自评根据</w:t>
      </w:r>
      <w:r>
        <w:rPr>
          <w:rFonts w:hint="eastAsia" w:eastAsia="仿宋_GB2312" w:cs="仿宋_GB2312"/>
          <w:kern w:val="0"/>
          <w:sz w:val="32"/>
          <w:szCs w:val="32"/>
        </w:rPr>
        <w:t>科技厅</w:t>
      </w:r>
      <w:r>
        <w:rPr>
          <w:rFonts w:eastAsia="仿宋_GB2312" w:cs="仿宋_GB2312"/>
          <w:kern w:val="0"/>
          <w:sz w:val="32"/>
          <w:szCs w:val="32"/>
        </w:rPr>
        <w:t>的</w:t>
      </w:r>
      <w:r>
        <w:rPr>
          <w:rFonts w:hint="eastAsia" w:eastAsia="仿宋_GB2312" w:cs="仿宋_GB2312"/>
          <w:kern w:val="0"/>
          <w:sz w:val="32"/>
          <w:szCs w:val="32"/>
        </w:rPr>
        <w:t>指导意见</w:t>
      </w:r>
      <w:r>
        <w:rPr>
          <w:rFonts w:eastAsia="仿宋_GB2312" w:cs="仿宋_GB2312"/>
          <w:kern w:val="0"/>
          <w:sz w:val="32"/>
          <w:szCs w:val="32"/>
        </w:rPr>
        <w:t>和省市</w:t>
      </w:r>
      <w:r>
        <w:rPr>
          <w:rFonts w:hint="eastAsia" w:eastAsia="仿宋_GB2312" w:cs="仿宋_GB2312"/>
          <w:kern w:val="0"/>
          <w:sz w:val="32"/>
          <w:szCs w:val="32"/>
        </w:rPr>
        <w:t>科技项目管理办法，</w:t>
      </w:r>
      <w:r>
        <w:rPr>
          <w:rFonts w:eastAsia="仿宋_GB2312" w:cs="仿宋_GB2312"/>
          <w:kern w:val="0"/>
          <w:sz w:val="32"/>
          <w:szCs w:val="32"/>
        </w:rPr>
        <w:t>由农林院</w:t>
      </w:r>
      <w:r>
        <w:rPr>
          <w:rFonts w:hint="eastAsia" w:eastAsia="仿宋_GB2312" w:cs="仿宋_GB2312"/>
          <w:kern w:val="0"/>
          <w:sz w:val="32"/>
          <w:szCs w:val="32"/>
        </w:rPr>
        <w:t>学术委员会</w:t>
      </w:r>
      <w:r>
        <w:rPr>
          <w:rFonts w:eastAsia="仿宋_GB2312" w:cs="仿宋_GB2312"/>
          <w:kern w:val="0"/>
          <w:sz w:val="32"/>
          <w:szCs w:val="32"/>
        </w:rPr>
        <w:t>专家组成自评小组，对项目计划任务书规定的各项指标完成情况、印证材料进行了检查自评，财务专家对经费使用情况进行了</w:t>
      </w:r>
      <w:r>
        <w:rPr>
          <w:rFonts w:hint="eastAsia" w:eastAsia="仿宋_GB2312" w:cs="仿宋_GB2312"/>
          <w:kern w:val="0"/>
          <w:sz w:val="32"/>
          <w:szCs w:val="32"/>
        </w:rPr>
        <w:t>清单制审查。</w:t>
      </w:r>
    </w:p>
    <w:p w14:paraId="4B99B897">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22664798">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71A3D7D7">
      <w:pPr>
        <w:spacing w:line="578" w:lineRule="exact"/>
        <w:ind w:firstLine="640"/>
        <w:rPr>
          <w:rFonts w:eastAsia="仿宋_GB2312" w:cs="仿宋_GB2312"/>
          <w:kern w:val="0"/>
          <w:sz w:val="32"/>
          <w:szCs w:val="32"/>
        </w:rPr>
      </w:pPr>
      <w:r>
        <w:rPr>
          <w:rFonts w:eastAsia="仿宋_GB2312" w:cs="仿宋_GB2312"/>
          <w:kern w:val="0"/>
          <w:sz w:val="32"/>
          <w:szCs w:val="32"/>
        </w:rPr>
        <w:t>项目严格按照相关规定申报，获批财政专项经费 20 万元。</w:t>
      </w:r>
      <w:r>
        <w:rPr>
          <w:rFonts w:hint="eastAsia" w:eastAsia="仿宋_GB2312" w:cs="仿宋_GB2312"/>
          <w:kern w:val="0"/>
          <w:sz w:val="32"/>
          <w:szCs w:val="32"/>
        </w:rPr>
        <w:t>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w:t>
      </w:r>
      <w:r>
        <w:rPr>
          <w:rFonts w:eastAsia="仿宋_GB2312" w:cs="仿宋_GB2312"/>
          <w:kern w:val="0"/>
          <w:sz w:val="32"/>
          <w:szCs w:val="32"/>
        </w:rPr>
        <w:t>资金使用过程中，严格遵循资金管理细则，确保手续完整、程序合规。</w:t>
      </w:r>
    </w:p>
    <w:p w14:paraId="78F165ED">
      <w:pPr>
        <w:spacing w:line="578" w:lineRule="exact"/>
        <w:ind w:firstLine="640"/>
        <w:rPr>
          <w:rFonts w:eastAsia="仿宋_GB2312" w:cs="仿宋_GB2312"/>
          <w:b/>
          <w:kern w:val="0"/>
          <w:sz w:val="32"/>
          <w:szCs w:val="32"/>
        </w:rPr>
      </w:pPr>
      <w:r>
        <w:rPr>
          <w:rFonts w:eastAsia="仿宋_GB2312" w:cs="仿宋_GB2312"/>
          <w:b/>
          <w:kern w:val="0"/>
          <w:sz w:val="32"/>
          <w:szCs w:val="32"/>
        </w:rPr>
        <w:t>（二）资金计划、到位及使用情况</w:t>
      </w:r>
    </w:p>
    <w:p w14:paraId="1A84ABE7">
      <w:pPr>
        <w:spacing w:line="578" w:lineRule="exact"/>
        <w:ind w:firstLine="640"/>
        <w:rPr>
          <w:rFonts w:eastAsia="仿宋_GB2312" w:cs="仿宋_GB2312"/>
          <w:b/>
          <w:kern w:val="0"/>
          <w:sz w:val="32"/>
          <w:szCs w:val="32"/>
        </w:rPr>
      </w:pPr>
      <w:r>
        <w:rPr>
          <w:rFonts w:hint="eastAsia" w:eastAsia="仿宋_GB2312" w:cs="仿宋_GB2312"/>
          <w:b/>
          <w:kern w:val="0"/>
          <w:sz w:val="32"/>
          <w:szCs w:val="32"/>
        </w:rPr>
        <w:t>1．资金计划</w:t>
      </w:r>
    </w:p>
    <w:p w14:paraId="5FB0E1F1">
      <w:pPr>
        <w:spacing w:line="578" w:lineRule="exact"/>
        <w:ind w:firstLine="640"/>
        <w:rPr>
          <w:rFonts w:eastAsia="仿宋_GB2312" w:cs="仿宋_GB2312"/>
          <w:kern w:val="0"/>
          <w:sz w:val="32"/>
          <w:szCs w:val="32"/>
        </w:rPr>
      </w:pPr>
      <w:r>
        <w:rPr>
          <w:rFonts w:hint="eastAsia" w:eastAsia="仿宋_GB2312" w:cs="仿宋_GB2312"/>
          <w:kern w:val="0"/>
          <w:sz w:val="32"/>
          <w:szCs w:val="32"/>
        </w:rPr>
        <w:t>省科技厅资金</w:t>
      </w:r>
      <w:r>
        <w:rPr>
          <w:rFonts w:eastAsia="仿宋_GB2312" w:cs="仿宋_GB2312"/>
          <w:kern w:val="0"/>
          <w:sz w:val="32"/>
          <w:szCs w:val="32"/>
        </w:rPr>
        <w:t>20 万元，全部用于项目实施</w:t>
      </w:r>
      <w:r>
        <w:rPr>
          <w:rFonts w:hint="eastAsia" w:eastAsia="仿宋_GB2312" w:cs="仿宋_GB2312"/>
          <w:kern w:val="0"/>
          <w:sz w:val="32"/>
          <w:szCs w:val="32"/>
        </w:rPr>
        <w:t>。</w:t>
      </w:r>
    </w:p>
    <w:p w14:paraId="438363D0">
      <w:pPr>
        <w:spacing w:line="578" w:lineRule="exact"/>
        <w:ind w:firstLine="640"/>
        <w:rPr>
          <w:rFonts w:eastAsia="仿宋_GB2312" w:cs="仿宋_GB2312"/>
          <w:kern w:val="0"/>
          <w:sz w:val="32"/>
          <w:szCs w:val="32"/>
        </w:rPr>
      </w:pPr>
      <w:r>
        <w:rPr>
          <w:rFonts w:hint="eastAsia" w:eastAsia="仿宋_GB2312" w:cs="仿宋_GB2312"/>
          <w:b/>
          <w:kern w:val="0"/>
          <w:sz w:val="32"/>
          <w:szCs w:val="32"/>
        </w:rPr>
        <w:t>2．资金到位</w:t>
      </w:r>
    </w:p>
    <w:p w14:paraId="57EFA274">
      <w:pPr>
        <w:spacing w:line="578" w:lineRule="exact"/>
        <w:ind w:firstLine="640"/>
        <w:rPr>
          <w:rFonts w:eastAsia="仿宋_GB2312" w:cs="仿宋_GB2312"/>
          <w:kern w:val="0"/>
          <w:sz w:val="32"/>
          <w:szCs w:val="32"/>
        </w:rPr>
      </w:pPr>
      <w:r>
        <w:rPr>
          <w:rFonts w:hint="eastAsia" w:eastAsia="仿宋_GB2312" w:cs="仿宋_GB2312"/>
          <w:kern w:val="0"/>
          <w:sz w:val="32"/>
          <w:szCs w:val="32"/>
        </w:rPr>
        <w:t>2025资金到位100%。</w:t>
      </w:r>
    </w:p>
    <w:p w14:paraId="0750A738">
      <w:pPr>
        <w:spacing w:line="578" w:lineRule="exact"/>
        <w:ind w:firstLine="640"/>
        <w:rPr>
          <w:rFonts w:eastAsia="仿宋_GB2312" w:cs="仿宋_GB2312"/>
          <w:b/>
          <w:kern w:val="0"/>
          <w:sz w:val="32"/>
          <w:szCs w:val="32"/>
        </w:rPr>
      </w:pPr>
      <w:r>
        <w:rPr>
          <w:rFonts w:hint="eastAsia" w:eastAsia="仿宋_GB2312" w:cs="仿宋_GB2312"/>
          <w:b/>
          <w:kern w:val="0"/>
          <w:sz w:val="32"/>
          <w:szCs w:val="32"/>
        </w:rPr>
        <w:t>3．资金使用。</w:t>
      </w:r>
    </w:p>
    <w:p w14:paraId="70034DC8">
      <w:pPr>
        <w:spacing w:line="578" w:lineRule="exact"/>
        <w:ind w:firstLine="640"/>
        <w:rPr>
          <w:rFonts w:eastAsia="仿宋_GB2312" w:cs="仿宋_GB2312"/>
          <w:kern w:val="0"/>
          <w:sz w:val="32"/>
          <w:szCs w:val="32"/>
        </w:rPr>
      </w:pPr>
      <w:r>
        <w:rPr>
          <w:rFonts w:eastAsia="仿宋_GB2312" w:cs="仿宋_GB2312"/>
          <w:kern w:val="0"/>
          <w:sz w:val="32"/>
          <w:szCs w:val="32"/>
        </w:rPr>
        <w:t>截至</w:t>
      </w:r>
      <w:r>
        <w:rPr>
          <w:rFonts w:hint="eastAsia" w:eastAsia="仿宋_GB2312" w:cs="仿宋_GB2312"/>
          <w:kern w:val="0"/>
          <w:sz w:val="32"/>
          <w:szCs w:val="32"/>
        </w:rPr>
        <w:t>目前</w:t>
      </w:r>
      <w:r>
        <w:rPr>
          <w:rFonts w:eastAsia="仿宋_GB2312" w:cs="仿宋_GB2312"/>
          <w:kern w:val="0"/>
          <w:sz w:val="32"/>
          <w:szCs w:val="32"/>
        </w:rPr>
        <w:t xml:space="preserve">，已使用资金 </w:t>
      </w:r>
      <w:r>
        <w:rPr>
          <w:rFonts w:hint="eastAsia" w:eastAsia="仿宋_GB2312" w:cs="仿宋_GB2312"/>
          <w:kern w:val="0"/>
          <w:sz w:val="32"/>
          <w:szCs w:val="32"/>
        </w:rPr>
        <w:t>18.1万元（其中已支付16.9万元</w:t>
      </w:r>
      <w:r>
        <w:rPr>
          <w:rFonts w:eastAsia="仿宋_GB2312" w:cs="仿宋_GB2312"/>
          <w:kern w:val="0"/>
          <w:sz w:val="32"/>
          <w:szCs w:val="32"/>
        </w:rPr>
        <w:t>，</w:t>
      </w:r>
      <w:r>
        <w:rPr>
          <w:rFonts w:hint="eastAsia" w:eastAsia="仿宋_GB2312" w:cs="仿宋_GB2312"/>
          <w:kern w:val="0"/>
          <w:sz w:val="32"/>
          <w:szCs w:val="32"/>
        </w:rPr>
        <w:t>支付中1.2万元），费用</w:t>
      </w:r>
      <w:r>
        <w:rPr>
          <w:rFonts w:eastAsia="仿宋_GB2312" w:cs="仿宋_GB2312"/>
          <w:kern w:val="0"/>
          <w:sz w:val="32"/>
          <w:szCs w:val="32"/>
        </w:rPr>
        <w:t xml:space="preserve">执行率 </w:t>
      </w:r>
      <w:r>
        <w:rPr>
          <w:rFonts w:hint="eastAsia" w:eastAsia="仿宋_GB2312" w:cs="仿宋_GB2312"/>
          <w:kern w:val="0"/>
          <w:sz w:val="32"/>
          <w:szCs w:val="32"/>
        </w:rPr>
        <w:t>90.</w:t>
      </w:r>
      <w:r>
        <w:rPr>
          <w:rFonts w:eastAsia="仿宋_GB2312" w:cs="仿宋_GB2312"/>
          <w:kern w:val="0"/>
          <w:sz w:val="32"/>
          <w:szCs w:val="32"/>
        </w:rPr>
        <w:t>5%，主要开支劳务费</w:t>
      </w:r>
      <w:r>
        <w:rPr>
          <w:rFonts w:hint="eastAsia" w:eastAsia="仿宋_GB2312" w:cs="仿宋_GB2312"/>
          <w:kern w:val="0"/>
          <w:sz w:val="32"/>
          <w:szCs w:val="32"/>
        </w:rPr>
        <w:t>，</w:t>
      </w:r>
      <w:r>
        <w:rPr>
          <w:rFonts w:eastAsia="仿宋_GB2312" w:cs="仿宋_GB2312"/>
          <w:kern w:val="0"/>
          <w:sz w:val="32"/>
          <w:szCs w:val="32"/>
        </w:rPr>
        <w:t>材料费和</w:t>
      </w:r>
      <w:r>
        <w:rPr>
          <w:rFonts w:hint="eastAsia" w:eastAsia="仿宋_GB2312" w:cs="仿宋_GB2312"/>
          <w:kern w:val="0"/>
          <w:sz w:val="32"/>
          <w:szCs w:val="32"/>
        </w:rPr>
        <w:t>知识产权</w:t>
      </w:r>
      <w:r>
        <w:rPr>
          <w:rFonts w:eastAsia="仿宋_GB2312" w:cs="仿宋_GB2312"/>
          <w:kern w:val="0"/>
          <w:sz w:val="32"/>
          <w:szCs w:val="32"/>
        </w:rPr>
        <w:t>等</w:t>
      </w:r>
      <w:r>
        <w:rPr>
          <w:rFonts w:hint="eastAsia" w:eastAsia="仿宋_GB2312" w:cs="仿宋_GB2312"/>
          <w:kern w:val="0"/>
          <w:sz w:val="32"/>
          <w:szCs w:val="32"/>
        </w:rPr>
        <w:t>业务费。</w:t>
      </w:r>
    </w:p>
    <w:p w14:paraId="0BB8D841">
      <w:pPr>
        <w:spacing w:line="578" w:lineRule="exact"/>
        <w:ind w:firstLine="640"/>
        <w:jc w:val="center"/>
        <w:rPr>
          <w:rFonts w:eastAsia="仿宋_GB2312" w:cs="仿宋_GB2312"/>
          <w:kern w:val="0"/>
          <w:sz w:val="32"/>
          <w:szCs w:val="32"/>
        </w:rPr>
      </w:pPr>
      <w:r>
        <w:rPr>
          <w:rFonts w:eastAsia="仿宋_GB2312" w:cs="仿宋_GB2312"/>
          <w:kern w:val="0"/>
          <w:sz w:val="32"/>
          <w:szCs w:val="32"/>
        </w:rPr>
        <w:t>具体资金使用情况如下表所示：</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500"/>
        <w:gridCol w:w="4575"/>
      </w:tblGrid>
      <w:tr w14:paraId="6CB1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54E05C98">
            <w:pPr>
              <w:adjustRightInd w:val="0"/>
              <w:snapToGrid w:val="0"/>
            </w:pPr>
            <w:r>
              <w:rPr>
                <w:rFonts w:hint="eastAsia"/>
              </w:rPr>
              <w:t>类别</w:t>
            </w:r>
          </w:p>
        </w:tc>
        <w:tc>
          <w:tcPr>
            <w:tcW w:w="1500" w:type="dxa"/>
          </w:tcPr>
          <w:p w14:paraId="36482E1E">
            <w:pPr>
              <w:adjustRightInd w:val="0"/>
              <w:snapToGrid w:val="0"/>
            </w:pPr>
            <w:r>
              <w:rPr>
                <w:rFonts w:hint="eastAsia"/>
              </w:rPr>
              <w:t>金额/万</w:t>
            </w:r>
          </w:p>
        </w:tc>
        <w:tc>
          <w:tcPr>
            <w:tcW w:w="4575" w:type="dxa"/>
          </w:tcPr>
          <w:p w14:paraId="3AF6F088">
            <w:pPr>
              <w:adjustRightInd w:val="0"/>
              <w:snapToGrid w:val="0"/>
            </w:pPr>
            <w:r>
              <w:rPr>
                <w:rFonts w:hint="eastAsia"/>
              </w:rPr>
              <w:t>备注</w:t>
            </w:r>
          </w:p>
        </w:tc>
      </w:tr>
      <w:tr w14:paraId="0607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723576BA">
            <w:pPr>
              <w:adjustRightInd w:val="0"/>
              <w:snapToGrid w:val="0"/>
            </w:pPr>
            <w:r>
              <w:rPr>
                <w:rFonts w:hint="eastAsia"/>
              </w:rPr>
              <w:t>材料费用</w:t>
            </w:r>
          </w:p>
        </w:tc>
        <w:tc>
          <w:tcPr>
            <w:tcW w:w="1500" w:type="dxa"/>
            <w:tcBorders>
              <w:left w:val="single" w:color="auto" w:sz="4" w:space="0"/>
              <w:right w:val="single" w:color="auto" w:sz="4" w:space="0"/>
            </w:tcBorders>
          </w:tcPr>
          <w:p w14:paraId="3FC046A3">
            <w:pPr>
              <w:adjustRightInd w:val="0"/>
              <w:snapToGrid w:val="0"/>
            </w:pPr>
            <w:r>
              <w:rPr>
                <w:rFonts w:hint="eastAsia"/>
              </w:rPr>
              <w:t>7.2</w:t>
            </w:r>
          </w:p>
        </w:tc>
        <w:tc>
          <w:tcPr>
            <w:tcW w:w="4575" w:type="dxa"/>
          </w:tcPr>
          <w:p w14:paraId="4769DCEC">
            <w:pPr>
              <w:adjustRightInd w:val="0"/>
              <w:snapToGrid w:val="0"/>
            </w:pPr>
            <w:r>
              <w:rPr>
                <w:rFonts w:hint="eastAsia"/>
              </w:rPr>
              <w:t>科普物资、技术性宣传材料</w:t>
            </w:r>
          </w:p>
        </w:tc>
      </w:tr>
      <w:tr w14:paraId="1AF1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27BB1C06">
            <w:pPr>
              <w:adjustRightInd w:val="0"/>
              <w:snapToGrid w:val="0"/>
            </w:pPr>
            <w:r>
              <w:rPr>
                <w:rFonts w:hint="eastAsia"/>
              </w:rPr>
              <w:t>人工费</w:t>
            </w:r>
          </w:p>
        </w:tc>
        <w:tc>
          <w:tcPr>
            <w:tcW w:w="1500" w:type="dxa"/>
            <w:tcBorders>
              <w:left w:val="single" w:color="auto" w:sz="4" w:space="0"/>
              <w:right w:val="single" w:color="auto" w:sz="4" w:space="0"/>
            </w:tcBorders>
          </w:tcPr>
          <w:p w14:paraId="6A6741F5">
            <w:pPr>
              <w:adjustRightInd w:val="0"/>
              <w:snapToGrid w:val="0"/>
            </w:pPr>
            <w:r>
              <w:rPr>
                <w:rFonts w:hint="eastAsia"/>
              </w:rPr>
              <w:t>2.9</w:t>
            </w:r>
          </w:p>
        </w:tc>
        <w:tc>
          <w:tcPr>
            <w:tcW w:w="4575" w:type="dxa"/>
          </w:tcPr>
          <w:p w14:paraId="58CCE4B6">
            <w:pPr>
              <w:adjustRightInd w:val="0"/>
              <w:snapToGrid w:val="0"/>
            </w:pPr>
            <w:r>
              <w:t>支付科研辅助人员及专家咨询费用</w:t>
            </w:r>
          </w:p>
        </w:tc>
      </w:tr>
      <w:tr w14:paraId="4133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2A626B1A">
            <w:pPr>
              <w:adjustRightInd w:val="0"/>
              <w:snapToGrid w:val="0"/>
            </w:pPr>
            <w:r>
              <w:rPr>
                <w:rFonts w:hint="eastAsia"/>
              </w:rPr>
              <w:t>差旅费</w:t>
            </w:r>
          </w:p>
        </w:tc>
        <w:tc>
          <w:tcPr>
            <w:tcW w:w="1500" w:type="dxa"/>
            <w:tcBorders>
              <w:left w:val="single" w:color="auto" w:sz="4" w:space="0"/>
              <w:right w:val="single" w:color="auto" w:sz="4" w:space="0"/>
            </w:tcBorders>
          </w:tcPr>
          <w:p w14:paraId="78F82AC3">
            <w:pPr>
              <w:adjustRightInd w:val="0"/>
              <w:snapToGrid w:val="0"/>
            </w:pPr>
            <w:r>
              <w:rPr>
                <w:rFonts w:hint="eastAsia"/>
              </w:rPr>
              <w:t>5.3</w:t>
            </w:r>
          </w:p>
        </w:tc>
        <w:tc>
          <w:tcPr>
            <w:tcW w:w="4575" w:type="dxa"/>
          </w:tcPr>
          <w:p w14:paraId="2A842C7E">
            <w:pPr>
              <w:adjustRightInd w:val="0"/>
              <w:snapToGrid w:val="0"/>
            </w:pPr>
            <w:r>
              <w:rPr>
                <w:rFonts w:hint="eastAsia"/>
              </w:rPr>
              <w:t>项目实施地（攀枝花木里农村地区）的</w:t>
            </w:r>
          </w:p>
        </w:tc>
      </w:tr>
      <w:tr w14:paraId="491A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79447EF9">
            <w:pPr>
              <w:adjustRightInd w:val="0"/>
              <w:snapToGrid w:val="0"/>
            </w:pPr>
            <w:r>
              <w:rPr>
                <w:rFonts w:hint="eastAsia"/>
              </w:rPr>
              <w:t>测试化验费</w:t>
            </w:r>
          </w:p>
        </w:tc>
        <w:tc>
          <w:tcPr>
            <w:tcW w:w="1500" w:type="dxa"/>
            <w:tcBorders>
              <w:left w:val="single" w:color="auto" w:sz="4" w:space="0"/>
              <w:right w:val="single" w:color="auto" w:sz="4" w:space="0"/>
            </w:tcBorders>
          </w:tcPr>
          <w:p w14:paraId="0FDE67FF">
            <w:pPr>
              <w:adjustRightInd w:val="0"/>
              <w:snapToGrid w:val="0"/>
            </w:pPr>
            <w:r>
              <w:rPr>
                <w:rFonts w:hint="eastAsia"/>
              </w:rPr>
              <w:t>1.5</w:t>
            </w:r>
          </w:p>
        </w:tc>
        <w:tc>
          <w:tcPr>
            <w:tcW w:w="4575" w:type="dxa"/>
          </w:tcPr>
          <w:p w14:paraId="3A868CD6">
            <w:pPr>
              <w:adjustRightInd w:val="0"/>
              <w:snapToGrid w:val="0"/>
            </w:pPr>
            <w:r>
              <w:rPr>
                <w:rFonts w:hint="eastAsia"/>
              </w:rPr>
              <w:t>科普中的土肥和病原物样品</w:t>
            </w:r>
          </w:p>
        </w:tc>
      </w:tr>
      <w:tr w14:paraId="141F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39EAF0CE">
            <w:pPr>
              <w:adjustRightInd w:val="0"/>
              <w:snapToGrid w:val="0"/>
            </w:pPr>
            <w:r>
              <w:rPr>
                <w:rFonts w:hint="eastAsia"/>
              </w:rPr>
              <w:t>知识产权费（支付中）</w:t>
            </w:r>
          </w:p>
        </w:tc>
        <w:tc>
          <w:tcPr>
            <w:tcW w:w="1500" w:type="dxa"/>
            <w:tcBorders>
              <w:left w:val="single" w:color="auto" w:sz="4" w:space="0"/>
              <w:right w:val="single" w:color="auto" w:sz="4" w:space="0"/>
            </w:tcBorders>
          </w:tcPr>
          <w:p w14:paraId="696A16C8">
            <w:pPr>
              <w:adjustRightInd w:val="0"/>
              <w:snapToGrid w:val="0"/>
            </w:pPr>
            <w:r>
              <w:rPr>
                <w:rFonts w:hint="eastAsia"/>
              </w:rPr>
              <w:t>1.2</w:t>
            </w:r>
          </w:p>
        </w:tc>
        <w:tc>
          <w:tcPr>
            <w:tcW w:w="4575" w:type="dxa"/>
          </w:tcPr>
          <w:p w14:paraId="118EC330">
            <w:pPr>
              <w:adjustRightInd w:val="0"/>
              <w:snapToGrid w:val="0"/>
            </w:pPr>
            <w:r>
              <w:rPr>
                <w:rFonts w:hint="eastAsia"/>
              </w:rPr>
              <w:t>专利和版面费等</w:t>
            </w:r>
          </w:p>
        </w:tc>
      </w:tr>
      <w:tr w14:paraId="5A0F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Pr>
          <w:p w14:paraId="78C29E3E">
            <w:pPr>
              <w:adjustRightInd w:val="0"/>
              <w:snapToGrid w:val="0"/>
            </w:pPr>
            <w:r>
              <w:rPr>
                <w:rFonts w:hint="eastAsia"/>
              </w:rPr>
              <w:t>合计</w:t>
            </w:r>
          </w:p>
        </w:tc>
        <w:tc>
          <w:tcPr>
            <w:tcW w:w="1500" w:type="dxa"/>
            <w:tcBorders>
              <w:left w:val="single" w:color="auto" w:sz="4" w:space="0"/>
              <w:right w:val="single" w:color="auto" w:sz="4" w:space="0"/>
            </w:tcBorders>
          </w:tcPr>
          <w:p w14:paraId="06029050">
            <w:pPr>
              <w:adjustRightInd w:val="0"/>
              <w:snapToGrid w:val="0"/>
            </w:pPr>
            <w:r>
              <w:rPr>
                <w:rFonts w:hint="eastAsia"/>
              </w:rPr>
              <w:t>18.1</w:t>
            </w:r>
          </w:p>
        </w:tc>
        <w:tc>
          <w:tcPr>
            <w:tcW w:w="4575" w:type="dxa"/>
          </w:tcPr>
          <w:p w14:paraId="6E45940E">
            <w:pPr>
              <w:adjustRightInd w:val="0"/>
              <w:snapToGrid w:val="0"/>
            </w:pPr>
          </w:p>
        </w:tc>
      </w:tr>
    </w:tbl>
    <w:p w14:paraId="2BE0994E">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303D7932">
      <w:pPr>
        <w:spacing w:line="578" w:lineRule="exact"/>
        <w:ind w:firstLine="640"/>
        <w:rPr>
          <w:rFonts w:eastAsia="仿宋_GB2312" w:cs="仿宋_GB2312"/>
          <w:kern w:val="0"/>
          <w:sz w:val="32"/>
          <w:szCs w:val="32"/>
        </w:rPr>
      </w:pPr>
      <w:r>
        <w:rPr>
          <w:rFonts w:hint="eastAsia" w:eastAsia="仿宋_GB2312" w:cs="仿宋_GB2312"/>
          <w:kern w:val="0"/>
          <w:sz w:val="32"/>
          <w:szCs w:val="32"/>
        </w:rPr>
        <w:t>院财务室负责对项目经费开支情况进行审核，院学术委员会负责对项目实施情况进行抽查；项目承担单位科技管理科对项目申报、实施、验收等进行全程监督和管理。本项目自实施以来，每个环节均有严格的制度办法规范工作。</w:t>
      </w:r>
    </w:p>
    <w:p w14:paraId="46CAD572">
      <w:pPr>
        <w:spacing w:line="578" w:lineRule="exact"/>
        <w:ind w:firstLine="640"/>
        <w:rPr>
          <w:rFonts w:eastAsia="仿宋_GB2312" w:cs="仿宋_GB2312"/>
          <w:b/>
          <w:kern w:val="0"/>
          <w:sz w:val="32"/>
          <w:szCs w:val="32"/>
        </w:rPr>
      </w:pPr>
      <w:r>
        <w:rPr>
          <w:rFonts w:eastAsia="仿宋_GB2312" w:cs="仿宋_GB2312"/>
          <w:b/>
          <w:kern w:val="0"/>
          <w:sz w:val="32"/>
          <w:szCs w:val="32"/>
        </w:rPr>
        <w:t>（四）项目财务管理情况。</w:t>
      </w:r>
    </w:p>
    <w:p w14:paraId="6FF1D08A">
      <w:pPr>
        <w:spacing w:line="578" w:lineRule="exact"/>
        <w:ind w:firstLine="640"/>
        <w:rPr>
          <w:rFonts w:eastAsia="仿宋_GB2312" w:cs="仿宋_GB2312"/>
          <w:kern w:val="0"/>
          <w:sz w:val="32"/>
          <w:szCs w:val="32"/>
        </w:rPr>
      </w:pPr>
      <w:r>
        <w:rPr>
          <w:rFonts w:hint="eastAsia" w:eastAsia="仿宋_GB2312" w:cs="仿宋_GB2312"/>
          <w:kern w:val="0"/>
          <w:sz w:val="32"/>
          <w:szCs w:val="32"/>
        </w:rPr>
        <w:t>资金管理办法制定情况，资金支持具体项目的条件、范围与支持方式概况：项目承担单位有资金管理细则，制定了《攀枝花市农林科学研究院财务管理办法》（攀农林[2019]56号）和《攀枝花市农林科学研究院非政府采购类项目的采购管理办法》（攀农林[2021]26号）。</w:t>
      </w:r>
    </w:p>
    <w:p w14:paraId="39B9099C">
      <w:pPr>
        <w:spacing w:line="578" w:lineRule="exact"/>
        <w:ind w:firstLine="640"/>
        <w:rPr>
          <w:rFonts w:eastAsia="仿宋_GB2312" w:cs="仿宋_GB2312"/>
          <w:kern w:val="0"/>
          <w:sz w:val="32"/>
          <w:szCs w:val="32"/>
        </w:rPr>
      </w:pPr>
      <w:r>
        <w:rPr>
          <w:rFonts w:hint="eastAsia" w:eastAsia="仿宋_GB2312" w:cs="仿宋_GB2312"/>
          <w:kern w:val="0"/>
          <w:sz w:val="32"/>
          <w:szCs w:val="32"/>
        </w:rPr>
        <w:t>资金分配的原则及考虑因素：本项目的项目执行单位为攀枝花市农林科学研究院，全部资金由项目组进行项目实施，根据项目任务和工作重点，合理分配资金用于业务费（17.5万元）以及劳务费（2.5万元），未设置间接费用，以保障各项工作顺利进行。</w:t>
      </w:r>
    </w:p>
    <w:p w14:paraId="252BF9C4">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322485CF">
      <w:pPr>
        <w:spacing w:line="578" w:lineRule="exact"/>
        <w:ind w:firstLine="640"/>
        <w:rPr>
          <w:rFonts w:eastAsia="仿宋_GB2312" w:cs="仿宋_GB2312"/>
          <w:b/>
          <w:kern w:val="0"/>
          <w:sz w:val="32"/>
          <w:szCs w:val="32"/>
        </w:rPr>
      </w:pPr>
      <w:r>
        <w:rPr>
          <w:rFonts w:eastAsia="仿宋_GB2312" w:cs="仿宋_GB2312"/>
          <w:b/>
          <w:kern w:val="0"/>
          <w:sz w:val="32"/>
          <w:szCs w:val="32"/>
        </w:rPr>
        <w:t>（一）项目组织架构及实施流程。</w:t>
      </w:r>
    </w:p>
    <w:p w14:paraId="3B682188">
      <w:pPr>
        <w:spacing w:line="578" w:lineRule="exact"/>
        <w:ind w:firstLine="640"/>
        <w:rPr>
          <w:rFonts w:eastAsia="仿宋_GB2312" w:cs="仿宋_GB2312"/>
          <w:kern w:val="0"/>
          <w:sz w:val="32"/>
          <w:szCs w:val="32"/>
        </w:rPr>
      </w:pPr>
      <w:r>
        <w:rPr>
          <w:rFonts w:hint="eastAsia" w:eastAsia="仿宋_GB2312" w:cs="仿宋_GB2312"/>
          <w:kern w:val="0"/>
          <w:sz w:val="32"/>
          <w:szCs w:val="32"/>
        </w:rPr>
        <w:t>项目组按照项目实施计划进行本年度实施。</w:t>
      </w:r>
    </w:p>
    <w:p w14:paraId="1F5A9CCE">
      <w:pPr>
        <w:spacing w:line="578" w:lineRule="exact"/>
        <w:ind w:firstLine="640"/>
        <w:rPr>
          <w:rFonts w:eastAsia="仿宋_GB2312" w:cs="仿宋_GB2312"/>
          <w:kern w:val="0"/>
          <w:sz w:val="32"/>
          <w:szCs w:val="32"/>
        </w:rPr>
      </w:pPr>
      <w:r>
        <w:rPr>
          <w:rFonts w:eastAsia="仿宋_GB2312" w:cs="仿宋_GB2312"/>
          <w:b/>
          <w:kern w:val="0"/>
          <w:sz w:val="32"/>
          <w:szCs w:val="32"/>
        </w:rPr>
        <w:t>（二）项目管理情况。</w:t>
      </w:r>
    </w:p>
    <w:p w14:paraId="6CAF4F22">
      <w:pPr>
        <w:spacing w:line="578" w:lineRule="exact"/>
        <w:ind w:firstLine="640"/>
        <w:rPr>
          <w:rFonts w:eastAsia="仿宋_GB2312" w:cs="仿宋_GB2312"/>
          <w:kern w:val="0"/>
          <w:sz w:val="32"/>
          <w:szCs w:val="32"/>
        </w:rPr>
      </w:pPr>
      <w:r>
        <w:rPr>
          <w:rFonts w:hint="eastAsia" w:eastAsia="仿宋_GB2312" w:cs="仿宋_GB2312"/>
          <w:kern w:val="0"/>
          <w:sz w:val="32"/>
          <w:szCs w:val="32"/>
        </w:rPr>
        <w:t>项目严格按照相关规定申报，获批财政专项经费 20 万元。项目资金在使用过程中，严格按照省、市科技资金的使用要求进行开支，每一笔开支均实行三级监管（项目组—财务—分管副院长），物资采购严格按照攀枝花市农林院《全院非政府采购类项目的采购管理暂行办法》（攀农林[2021]26号文）进行审批。资金使用过程中，严格遵循资金管理细则，确保手续完整、程序合规。</w:t>
      </w:r>
    </w:p>
    <w:p w14:paraId="42514CB4">
      <w:pPr>
        <w:spacing w:line="578" w:lineRule="exact"/>
        <w:ind w:firstLine="640"/>
        <w:rPr>
          <w:rFonts w:eastAsia="仿宋_GB2312" w:cs="仿宋_GB2312"/>
          <w:kern w:val="0"/>
          <w:sz w:val="32"/>
          <w:szCs w:val="32"/>
        </w:rPr>
      </w:pPr>
      <w:r>
        <w:rPr>
          <w:rFonts w:hint="eastAsia" w:eastAsia="仿宋_GB2312" w:cs="仿宋_GB2312"/>
          <w:kern w:val="0"/>
          <w:sz w:val="32"/>
          <w:szCs w:val="32"/>
        </w:rPr>
        <w:t>目前项目已使用16.9万元(完成支付部分)，正在支付中的1.2万元，资金使用率90.5%。</w:t>
      </w:r>
    </w:p>
    <w:p w14:paraId="14988EC0">
      <w:pPr>
        <w:spacing w:line="578" w:lineRule="exact"/>
        <w:ind w:firstLine="640"/>
        <w:rPr>
          <w:rFonts w:eastAsia="仿宋_GB2312" w:cs="仿宋_GB2312"/>
          <w:b/>
          <w:kern w:val="0"/>
          <w:sz w:val="32"/>
          <w:szCs w:val="32"/>
        </w:rPr>
      </w:pPr>
      <w:r>
        <w:rPr>
          <w:rFonts w:eastAsia="仿宋_GB2312" w:cs="仿宋_GB2312"/>
          <w:b/>
          <w:kern w:val="0"/>
          <w:sz w:val="32"/>
          <w:szCs w:val="32"/>
        </w:rPr>
        <w:t>（三）项目监管情况。</w:t>
      </w:r>
    </w:p>
    <w:p w14:paraId="3E058623">
      <w:pPr>
        <w:spacing w:line="578" w:lineRule="exact"/>
        <w:ind w:firstLine="640"/>
        <w:rPr>
          <w:rFonts w:eastAsia="仿宋_GB2312" w:cs="仿宋_GB2312"/>
          <w:kern w:val="0"/>
          <w:sz w:val="32"/>
          <w:szCs w:val="32"/>
        </w:rPr>
      </w:pPr>
      <w:r>
        <w:rPr>
          <w:rFonts w:eastAsia="仿宋_GB2312" w:cs="仿宋_GB2312"/>
          <w:kern w:val="0"/>
          <w:sz w:val="32"/>
          <w:szCs w:val="32"/>
        </w:rPr>
        <w:t>项目主管部门为</w:t>
      </w:r>
      <w:r>
        <w:rPr>
          <w:rFonts w:hint="eastAsia" w:eastAsia="仿宋_GB2312" w:cs="仿宋_GB2312"/>
          <w:kern w:val="0"/>
          <w:sz w:val="32"/>
          <w:szCs w:val="32"/>
        </w:rPr>
        <w:t>攀枝花市科技局，中期和执行期均进行督察巡查和听取执行汇报。对项目执行单位的管理方式和督导力度表示赞许。</w:t>
      </w:r>
    </w:p>
    <w:p w14:paraId="19D0266C">
      <w:pPr>
        <w:spacing w:line="578" w:lineRule="exact"/>
        <w:ind w:firstLine="640"/>
        <w:rPr>
          <w:rFonts w:eastAsia="仿宋_GB2312" w:cs="仿宋_GB2312"/>
          <w:kern w:val="0"/>
          <w:sz w:val="32"/>
          <w:szCs w:val="32"/>
        </w:rPr>
      </w:pPr>
      <w:r>
        <w:rPr>
          <w:rFonts w:hint="eastAsia" w:eastAsia="仿宋_GB2312" w:cs="仿宋_GB2312"/>
          <w:kern w:val="0"/>
          <w:sz w:val="32"/>
          <w:szCs w:val="32"/>
        </w:rPr>
        <w:t>在执行期满前进行提示，提供了验收的程序指南和人员的指导，为项目顺利验收提供了技术支持。</w:t>
      </w:r>
    </w:p>
    <w:p w14:paraId="1B5A3766">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四、项目绩效情况</w:t>
      </w:r>
    </w:p>
    <w:p w14:paraId="57B7941C">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25CD0D6F">
      <w:pPr>
        <w:spacing w:line="578" w:lineRule="exact"/>
        <w:ind w:firstLine="640"/>
        <w:rPr>
          <w:rFonts w:eastAsia="仿宋_GB2312" w:cs="仿宋_GB2312"/>
          <w:kern w:val="0"/>
          <w:sz w:val="32"/>
          <w:szCs w:val="32"/>
        </w:rPr>
      </w:pPr>
      <w:r>
        <w:rPr>
          <w:rFonts w:hint="eastAsia" w:eastAsia="仿宋_GB2312" w:cs="仿宋_GB2312"/>
          <w:kern w:val="0"/>
          <w:sz w:val="32"/>
          <w:szCs w:val="32"/>
        </w:rPr>
        <w:t>累计培训班6场次，参加培训专家老师超20人次，培训人员1637人次。其中木里县参加培训822人次。备案“天府科普使者”7人（攀枝花市5人、木里县2人），培养“天府科普使者”候选人推荐20人。项目完成木里县科普路线图和木里县重点农业自然灾害预警图各1幅；攀枝花—木里的农技科普传播者数据库（数据集）1个。</w:t>
      </w:r>
    </w:p>
    <w:p w14:paraId="6B1E2878">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44847AD2">
      <w:pPr>
        <w:spacing w:line="578" w:lineRule="exact"/>
        <w:ind w:firstLine="640"/>
        <w:rPr>
          <w:rFonts w:eastAsia="仿宋_GB2312" w:cs="仿宋_GB2312"/>
          <w:kern w:val="0"/>
          <w:sz w:val="32"/>
          <w:szCs w:val="32"/>
        </w:rPr>
      </w:pPr>
      <w:r>
        <w:rPr>
          <w:rFonts w:hint="eastAsia" w:eastAsia="仿宋_GB2312" w:cs="仿宋_GB2312"/>
          <w:kern w:val="0"/>
          <w:sz w:val="32"/>
          <w:szCs w:val="32"/>
        </w:rPr>
        <w:t>经攀枝花市民宗委和木里县农业农村局对项目实施成效抽查，应用结果达到了项目目标效益，其中实施村落的牧区农户产肉质量普遍提升了10%以上。种植业的病虫害平均发生率降低10%以上。依托项目新引进或更新的畜牧饲草饲料、家畜冻精、特色水果、高山蔬菜和经济作物等的品种品类超过10种；受益的民族同胞饮食结构得到了优化，地方疾病发生降低，医药成本同比实施前降低20%以上。</w:t>
      </w:r>
    </w:p>
    <w:p w14:paraId="7AE3B4AA">
      <w:pPr>
        <w:spacing w:line="578" w:lineRule="exact"/>
        <w:ind w:firstLine="640"/>
        <w:rPr>
          <w:rFonts w:eastAsia="仿宋_GB2312" w:cs="仿宋_GB2312"/>
          <w:kern w:val="0"/>
          <w:sz w:val="32"/>
          <w:szCs w:val="32"/>
        </w:rPr>
      </w:pPr>
      <w:r>
        <w:rPr>
          <w:rFonts w:hint="eastAsia" w:eastAsia="仿宋_GB2312" w:cs="仿宋_GB2312"/>
          <w:kern w:val="0"/>
          <w:sz w:val="32"/>
          <w:szCs w:val="32"/>
        </w:rPr>
        <w:t>项目完成木里县科普路线图1幅；木里县重点农业自然灾害预警图1幅；攀枝花—木里的农技科普传播者数据库（数据集）1个，完整呈现了农技科普传播者的参训内容和信息。这主要</w:t>
      </w:r>
      <w:r>
        <w:rPr>
          <w:rFonts w:eastAsia="仿宋_GB2312" w:cs="仿宋_GB2312"/>
          <w:kern w:val="0"/>
          <w:sz w:val="32"/>
          <w:szCs w:val="32"/>
        </w:rPr>
        <w:t>来源于项目组实地走访和培训进行，获得的一手资料进行整编所得，价值非常。</w:t>
      </w:r>
    </w:p>
    <w:p w14:paraId="1ACB72D9">
      <w:pPr>
        <w:spacing w:line="578" w:lineRule="exact"/>
        <w:ind w:firstLine="640"/>
        <w:rPr>
          <w:rFonts w:eastAsia="仿宋_GB2312" w:cs="仿宋_GB2312"/>
          <w:kern w:val="0"/>
          <w:sz w:val="32"/>
          <w:szCs w:val="32"/>
        </w:rPr>
      </w:pPr>
      <w:r>
        <w:rPr>
          <w:rFonts w:hint="eastAsia" w:eastAsia="仿宋_GB2312" w:cs="仿宋_GB2312"/>
          <w:kern w:val="0"/>
          <w:sz w:val="32"/>
          <w:szCs w:val="32"/>
        </w:rPr>
        <w:t>按照实施计划，项目组专家参与攀枝花</w:t>
      </w:r>
      <w:r>
        <w:rPr>
          <w:rFonts w:eastAsia="仿宋_GB2312" w:cs="仿宋_GB2312"/>
          <w:kern w:val="0"/>
          <w:sz w:val="32"/>
          <w:szCs w:val="32"/>
        </w:rPr>
        <w:t>和木里两地民族地区的</w:t>
      </w:r>
      <w:r>
        <w:rPr>
          <w:rFonts w:hint="eastAsia" w:eastAsia="仿宋_GB2312" w:cs="仿宋_GB2312"/>
          <w:kern w:val="0"/>
          <w:sz w:val="32"/>
          <w:szCs w:val="32"/>
        </w:rPr>
        <w:t xml:space="preserve"> “科技活动周” 活动进行技术服务。邀请</w:t>
      </w:r>
      <w:r>
        <w:rPr>
          <w:rFonts w:eastAsia="仿宋_GB2312" w:cs="仿宋_GB2312"/>
          <w:kern w:val="0"/>
          <w:sz w:val="32"/>
          <w:szCs w:val="32"/>
        </w:rPr>
        <w:t>了</w:t>
      </w:r>
      <w:r>
        <w:rPr>
          <w:rFonts w:hint="eastAsia" w:eastAsia="仿宋_GB2312" w:cs="仿宋_GB2312"/>
          <w:kern w:val="0"/>
          <w:sz w:val="32"/>
          <w:szCs w:val="32"/>
        </w:rPr>
        <w:t>攀枝花</w:t>
      </w:r>
      <w:r>
        <w:rPr>
          <w:rFonts w:eastAsia="仿宋_GB2312" w:cs="仿宋_GB2312"/>
          <w:kern w:val="0"/>
          <w:sz w:val="32"/>
          <w:szCs w:val="32"/>
        </w:rPr>
        <w:t>和木里两地</w:t>
      </w:r>
      <w:r>
        <w:rPr>
          <w:rFonts w:hint="eastAsia" w:eastAsia="仿宋_GB2312" w:cs="仿宋_GB2312"/>
          <w:kern w:val="0"/>
          <w:sz w:val="32"/>
          <w:szCs w:val="32"/>
        </w:rPr>
        <w:t>农业技术</w:t>
      </w:r>
      <w:r>
        <w:rPr>
          <w:rFonts w:eastAsia="仿宋_GB2312" w:cs="仿宋_GB2312"/>
          <w:kern w:val="0"/>
          <w:sz w:val="32"/>
          <w:szCs w:val="32"/>
        </w:rPr>
        <w:t>科普骨干到攀枝花市农林科学研究院芒果种质资源圃和基地（</w:t>
      </w:r>
      <w:r>
        <w:rPr>
          <w:rFonts w:hint="eastAsia" w:eastAsia="仿宋_GB2312" w:cs="仿宋_GB2312"/>
          <w:kern w:val="0"/>
          <w:sz w:val="32"/>
          <w:szCs w:val="32"/>
        </w:rPr>
        <w:t>展馆</w:t>
      </w:r>
      <w:r>
        <w:rPr>
          <w:rFonts w:eastAsia="仿宋_GB2312" w:cs="仿宋_GB2312"/>
          <w:kern w:val="0"/>
          <w:sz w:val="32"/>
          <w:szCs w:val="32"/>
        </w:rPr>
        <w:t>）</w:t>
      </w:r>
      <w:r>
        <w:rPr>
          <w:rFonts w:hint="eastAsia" w:eastAsia="仿宋_GB2312" w:cs="仿宋_GB2312"/>
          <w:kern w:val="0"/>
          <w:sz w:val="32"/>
          <w:szCs w:val="32"/>
        </w:rPr>
        <w:t>进行</w:t>
      </w:r>
      <w:r>
        <w:rPr>
          <w:rFonts w:eastAsia="仿宋_GB2312" w:cs="仿宋_GB2312"/>
          <w:kern w:val="0"/>
          <w:sz w:val="32"/>
          <w:szCs w:val="32"/>
        </w:rPr>
        <w:t>观摩参展参训。有力</w:t>
      </w:r>
      <w:r>
        <w:rPr>
          <w:rFonts w:hint="eastAsia" w:eastAsia="仿宋_GB2312" w:cs="仿宋_GB2312"/>
          <w:kern w:val="0"/>
          <w:sz w:val="32"/>
          <w:szCs w:val="32"/>
        </w:rPr>
        <w:t>的</w:t>
      </w:r>
      <w:r>
        <w:rPr>
          <w:rFonts w:eastAsia="仿宋_GB2312" w:cs="仿宋_GB2312"/>
          <w:kern w:val="0"/>
          <w:sz w:val="32"/>
          <w:szCs w:val="32"/>
        </w:rPr>
        <w:t>促成了两</w:t>
      </w:r>
      <w:r>
        <w:rPr>
          <w:rFonts w:hint="eastAsia" w:eastAsia="仿宋_GB2312" w:cs="仿宋_GB2312"/>
          <w:kern w:val="0"/>
          <w:sz w:val="32"/>
          <w:szCs w:val="32"/>
        </w:rPr>
        <w:t>地</w:t>
      </w:r>
      <w:r>
        <w:rPr>
          <w:rFonts w:eastAsia="仿宋_GB2312" w:cs="仿宋_GB2312"/>
          <w:kern w:val="0"/>
          <w:sz w:val="32"/>
          <w:szCs w:val="32"/>
        </w:rPr>
        <w:t>的</w:t>
      </w:r>
      <w:r>
        <w:rPr>
          <w:rFonts w:hint="eastAsia" w:eastAsia="仿宋_GB2312" w:cs="仿宋_GB2312"/>
          <w:kern w:val="0"/>
          <w:sz w:val="32"/>
          <w:szCs w:val="32"/>
        </w:rPr>
        <w:t>芒果生产</w:t>
      </w:r>
      <w:r>
        <w:rPr>
          <w:rFonts w:eastAsia="仿宋_GB2312" w:cs="仿宋_GB2312"/>
          <w:kern w:val="0"/>
          <w:sz w:val="32"/>
          <w:szCs w:val="32"/>
        </w:rPr>
        <w:t>等</w:t>
      </w:r>
      <w:r>
        <w:rPr>
          <w:rFonts w:hint="eastAsia" w:eastAsia="仿宋_GB2312" w:cs="仿宋_GB2312"/>
          <w:kern w:val="0"/>
          <w:sz w:val="32"/>
          <w:szCs w:val="32"/>
        </w:rPr>
        <w:t>方面的农业</w:t>
      </w:r>
      <w:r>
        <w:rPr>
          <w:rFonts w:eastAsia="仿宋_GB2312" w:cs="仿宋_GB2312"/>
          <w:kern w:val="0"/>
          <w:sz w:val="32"/>
          <w:szCs w:val="32"/>
        </w:rPr>
        <w:t>技术交流</w:t>
      </w:r>
      <w:r>
        <w:rPr>
          <w:rFonts w:hint="eastAsia" w:eastAsia="仿宋_GB2312" w:cs="仿宋_GB2312"/>
          <w:kern w:val="0"/>
          <w:sz w:val="32"/>
          <w:szCs w:val="32"/>
        </w:rPr>
        <w:t>。</w:t>
      </w:r>
    </w:p>
    <w:p w14:paraId="5924665D">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1044556E">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5220AE58">
      <w:pPr>
        <w:spacing w:line="578" w:lineRule="exact"/>
        <w:ind w:firstLine="640"/>
        <w:rPr>
          <w:rFonts w:eastAsia="仿宋_GB2312" w:cs="仿宋_GB2312"/>
          <w:kern w:val="0"/>
          <w:sz w:val="32"/>
          <w:szCs w:val="32"/>
        </w:rPr>
      </w:pPr>
      <w:r>
        <w:rPr>
          <w:rFonts w:hint="eastAsia" w:eastAsia="仿宋_GB2312" w:cs="仿宋_GB2312"/>
          <w:kern w:val="0"/>
          <w:sz w:val="32"/>
          <w:szCs w:val="32"/>
        </w:rPr>
        <w:t>结合项目实施特点和实施地的产业特征，项目组建了两支农业科普小分队，分别进入木里县藏区农村开展了4场次（类）木里县“6+8”产业现状调查和技术需求摸底，针对性制作农技科普短视频（汉藏双语）提供给民族同胞。在攀枝花民族地区开展农业技术科普培训4次，同时进行流动技术示范和指导。根据民族同胞对高技术附加的农资需求（新品种种子、小农机具、节水管材等），对应发放示范性物资。收集地域性的土样、畜牧冻精、植物感病样等技术性样本进行试验室质量指标检测，以便进行针对性技术服务。</w:t>
      </w:r>
    </w:p>
    <w:p w14:paraId="22571C71">
      <w:pPr>
        <w:spacing w:line="578" w:lineRule="exact"/>
        <w:ind w:firstLine="640"/>
        <w:rPr>
          <w:rFonts w:eastAsia="仿宋_GB2312" w:cs="仿宋_GB2312"/>
          <w:kern w:val="0"/>
          <w:sz w:val="32"/>
          <w:szCs w:val="32"/>
        </w:rPr>
      </w:pPr>
      <w:r>
        <w:rPr>
          <w:rFonts w:hint="eastAsia" w:eastAsia="仿宋_GB2312" w:cs="仿宋_GB2312"/>
          <w:kern w:val="0"/>
          <w:sz w:val="32"/>
          <w:szCs w:val="32"/>
        </w:rPr>
        <w:t>依托项目实施，在《决策与咨询》上发表科技论文1篇《山区科技特派员工作经验与调整策略——以四川省攀枝花市为例》，对农业科技服务乡村提出了有价值的意见建议。</w:t>
      </w:r>
    </w:p>
    <w:p w14:paraId="5346E525">
      <w:pPr>
        <w:spacing w:line="578" w:lineRule="exact"/>
        <w:ind w:firstLine="640"/>
        <w:rPr>
          <w:rFonts w:eastAsia="仿宋_GB2312" w:cs="仿宋_GB2312"/>
          <w:kern w:val="0"/>
          <w:sz w:val="32"/>
          <w:szCs w:val="32"/>
        </w:rPr>
      </w:pPr>
      <w:r>
        <w:rPr>
          <w:rFonts w:eastAsia="仿宋_GB2312" w:cs="仿宋_GB2312"/>
          <w:kern w:val="0"/>
          <w:sz w:val="32"/>
          <w:szCs w:val="32"/>
        </w:rPr>
        <w:t>结合项目</w:t>
      </w:r>
      <w:r>
        <w:rPr>
          <w:rFonts w:hint="eastAsia" w:eastAsia="仿宋_GB2312" w:cs="仿宋_GB2312"/>
          <w:kern w:val="0"/>
          <w:sz w:val="32"/>
          <w:szCs w:val="32"/>
        </w:rPr>
        <w:t>还进行了技术创新和实施创新双驱动。结合省科技厅验收的基本规则，进行了验收前的项目自评，</w:t>
      </w:r>
      <w:r>
        <w:rPr>
          <w:rFonts w:eastAsia="仿宋_GB2312" w:cs="仿宋_GB2312"/>
          <w:kern w:val="0"/>
          <w:sz w:val="32"/>
          <w:szCs w:val="32"/>
        </w:rPr>
        <w:t>评价</w:t>
      </w:r>
      <w:r>
        <w:rPr>
          <w:rFonts w:hint="eastAsia" w:eastAsia="仿宋_GB2312" w:cs="仿宋_GB2312"/>
          <w:kern w:val="0"/>
          <w:sz w:val="32"/>
          <w:szCs w:val="32"/>
        </w:rPr>
        <w:t>指标和程序严格按照省科技厅验收项目的</w:t>
      </w:r>
      <w:r>
        <w:rPr>
          <w:rFonts w:eastAsia="仿宋_GB2312" w:cs="仿宋_GB2312"/>
          <w:kern w:val="0"/>
          <w:sz w:val="32"/>
          <w:szCs w:val="32"/>
        </w:rPr>
        <w:t>要求</w:t>
      </w:r>
      <w:r>
        <w:rPr>
          <w:rFonts w:hint="eastAsia" w:eastAsia="仿宋_GB2312" w:cs="仿宋_GB2312"/>
          <w:kern w:val="0"/>
          <w:sz w:val="32"/>
          <w:szCs w:val="32"/>
        </w:rPr>
        <w:t>和</w:t>
      </w:r>
      <w:r>
        <w:rPr>
          <w:rFonts w:eastAsia="仿宋_GB2312" w:cs="仿宋_GB2312"/>
          <w:kern w:val="0"/>
          <w:sz w:val="32"/>
          <w:szCs w:val="32"/>
        </w:rPr>
        <w:t>管理办法等</w:t>
      </w:r>
      <w:r>
        <w:rPr>
          <w:rFonts w:hint="eastAsia" w:eastAsia="仿宋_GB2312" w:cs="仿宋_GB2312"/>
          <w:kern w:val="0"/>
          <w:sz w:val="32"/>
          <w:szCs w:val="32"/>
        </w:rPr>
        <w:t>进行</w:t>
      </w:r>
      <w:r>
        <w:rPr>
          <w:rFonts w:eastAsia="仿宋_GB2312" w:cs="仿宋_GB2312"/>
          <w:kern w:val="0"/>
          <w:sz w:val="32"/>
          <w:szCs w:val="32"/>
        </w:rPr>
        <w:t>，总体评价</w:t>
      </w:r>
      <w:r>
        <w:rPr>
          <w:rFonts w:hint="eastAsia" w:eastAsia="仿宋_GB2312" w:cs="仿宋_GB2312"/>
          <w:kern w:val="0"/>
          <w:sz w:val="32"/>
          <w:szCs w:val="32"/>
        </w:rPr>
        <w:t>为良好，自评成绩1</w:t>
      </w:r>
      <w:r>
        <w:rPr>
          <w:rFonts w:eastAsia="仿宋_GB2312" w:cs="仿宋_GB2312"/>
          <w:kern w:val="0"/>
          <w:sz w:val="32"/>
          <w:szCs w:val="32"/>
        </w:rPr>
        <w:t>00</w:t>
      </w:r>
      <w:r>
        <w:rPr>
          <w:rFonts w:hint="eastAsia" w:eastAsia="仿宋_GB2312" w:cs="仿宋_GB2312"/>
          <w:kern w:val="0"/>
          <w:sz w:val="32"/>
          <w:szCs w:val="32"/>
        </w:rPr>
        <w:t>分。</w:t>
      </w:r>
    </w:p>
    <w:p w14:paraId="6A813300">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19E855FF">
      <w:pPr>
        <w:spacing w:line="578" w:lineRule="exact"/>
        <w:ind w:firstLine="640"/>
        <w:rPr>
          <w:rFonts w:eastAsia="仿宋_GB2312" w:cs="仿宋_GB2312"/>
          <w:kern w:val="0"/>
          <w:sz w:val="32"/>
          <w:szCs w:val="32"/>
        </w:rPr>
      </w:pPr>
      <w:r>
        <w:rPr>
          <w:rFonts w:hint="eastAsia" w:eastAsia="仿宋_GB2312" w:cs="仿宋_GB2312"/>
          <w:kern w:val="0"/>
          <w:sz w:val="32"/>
          <w:szCs w:val="32"/>
        </w:rPr>
        <w:t>项目实施中，“培养备案天府科普使者20名以上”存在完成备案困难的实际问题。因科技厅在《关于组织开展2023年度天府科普使者申报工作的通知》中明确</w:t>
      </w:r>
      <w:r>
        <w:rPr>
          <w:rFonts w:eastAsia="仿宋_GB2312" w:cs="仿宋_GB2312"/>
          <w:kern w:val="0"/>
          <w:sz w:val="32"/>
          <w:szCs w:val="32"/>
        </w:rPr>
        <w:t>规定，</w:t>
      </w:r>
      <w:r>
        <w:rPr>
          <w:rFonts w:hint="eastAsia" w:eastAsia="仿宋_GB2312" w:cs="仿宋_GB2312"/>
          <w:kern w:val="0"/>
          <w:sz w:val="32"/>
          <w:szCs w:val="32"/>
        </w:rPr>
        <w:t>天府科普使者只能由四川省省级科普基地和四川省涉藏地区特色科普基地推荐申报，且限报1人。这一规定与《天府科普使者备案管理办法（试行）》（征求意见稿）中关于申报范围的内容相比</w:t>
      </w:r>
      <w:r>
        <w:rPr>
          <w:rFonts w:eastAsia="仿宋_GB2312" w:cs="仿宋_GB2312"/>
          <w:kern w:val="0"/>
          <w:sz w:val="32"/>
          <w:szCs w:val="32"/>
        </w:rPr>
        <w:t>，</w:t>
      </w:r>
      <w:r>
        <w:rPr>
          <w:rFonts w:hint="eastAsia" w:eastAsia="仿宋_GB2312" w:cs="仿宋_GB2312"/>
          <w:kern w:val="0"/>
          <w:sz w:val="32"/>
          <w:szCs w:val="32"/>
        </w:rPr>
        <w:t>极大地缩小了天府科普使者的申报范围。另一方面，科技厅近三年只组织了一次天府科普使者申报工作。从2023-2024年，攀枝花市和木里县两地的涉农省级科普基地7家，故本项目该项指标的完成情况为培养备案天府科普使者7名，完成率35%。尚有13名的未能完成（但项目组认真筛选，完成天府科普使者候选人推荐20人）。</w:t>
      </w:r>
    </w:p>
    <w:p w14:paraId="0EA123AE">
      <w:pPr>
        <w:spacing w:line="578" w:lineRule="exact"/>
        <w:ind w:firstLine="640"/>
        <w:rPr>
          <w:rFonts w:eastAsia="仿宋_GB2312" w:cs="仿宋_GB2312"/>
          <w:kern w:val="0"/>
          <w:sz w:val="32"/>
          <w:szCs w:val="32"/>
        </w:rPr>
      </w:pPr>
      <w:r>
        <w:rPr>
          <w:rFonts w:hint="eastAsia" w:eastAsia="仿宋_GB2312" w:cs="仿宋_GB2312"/>
          <w:kern w:val="0"/>
          <w:sz w:val="32"/>
          <w:szCs w:val="32"/>
        </w:rPr>
        <w:t>项目实施中，在木里县藏区民族同胞居住分散，路途遥远，培训的组织前期工作非常艰难，项目实施前期略有滞后。</w:t>
      </w:r>
    </w:p>
    <w:p w14:paraId="4019204B">
      <w:pPr>
        <w:spacing w:line="578" w:lineRule="exact"/>
        <w:ind w:firstLine="640"/>
        <w:rPr>
          <w:rFonts w:eastAsia="仿宋_GB2312" w:cs="仿宋_GB2312"/>
          <w:kern w:val="0"/>
          <w:sz w:val="32"/>
          <w:szCs w:val="32"/>
        </w:rPr>
      </w:pPr>
      <w:r>
        <w:rPr>
          <w:rFonts w:eastAsia="仿宋_GB2312" w:cs="仿宋_GB2312"/>
          <w:b/>
          <w:kern w:val="0"/>
          <w:sz w:val="32"/>
          <w:szCs w:val="32"/>
        </w:rPr>
        <w:t>（三）相关建议。</w:t>
      </w:r>
      <w:r>
        <w:rPr>
          <w:rFonts w:hint="eastAsia" w:eastAsia="仿宋_GB2312" w:cs="仿宋_GB2312"/>
          <w:kern w:val="0"/>
          <w:sz w:val="32"/>
          <w:szCs w:val="32"/>
        </w:rPr>
        <w:t>无</w:t>
      </w:r>
      <w:r>
        <w:rPr>
          <w:rFonts w:eastAsia="仿宋_GB2312" w:cs="仿宋_GB2312"/>
          <w:kern w:val="0"/>
          <w:sz w:val="32"/>
          <w:szCs w:val="32"/>
        </w:rPr>
        <w:t>。</w:t>
      </w:r>
      <w:r>
        <w:rPr>
          <w:rFonts w:eastAsia="仿宋_GB2312" w:cs="仿宋_GB2312"/>
          <w:kern w:val="0"/>
          <w:sz w:val="32"/>
          <w:szCs w:val="32"/>
        </w:rPr>
        <w:br w:type="page"/>
      </w:r>
    </w:p>
    <w:p w14:paraId="4C69E994">
      <w:pPr>
        <w:spacing w:line="578" w:lineRule="exact"/>
        <w:ind w:firstLine="640"/>
        <w:jc w:val="center"/>
        <w:rPr>
          <w:rFonts w:eastAsia="仿宋_GB2312" w:cs="仿宋_GB2312"/>
          <w:b/>
          <w:kern w:val="0"/>
          <w:sz w:val="32"/>
          <w:szCs w:val="32"/>
        </w:rPr>
      </w:pPr>
      <w:r>
        <w:rPr>
          <w:rFonts w:hint="eastAsia" w:ascii="方正小标宋简体" w:eastAsia="方正小标宋简体" w:cs="仿宋_GB2312"/>
          <w:kern w:val="0"/>
          <w:sz w:val="40"/>
          <w:szCs w:val="40"/>
        </w:rPr>
        <w:t>专项预算项目支出绩效自评报告</w:t>
      </w:r>
    </w:p>
    <w:p w14:paraId="6EEF0189">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四川省攀枝花市中型灌区农田灌溉水</w:t>
      </w:r>
    </w:p>
    <w:p w14:paraId="34DF7EFA">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有效系数测算</w:t>
      </w:r>
    </w:p>
    <w:p w14:paraId="6AA661BC">
      <w:pPr>
        <w:spacing w:line="578" w:lineRule="exact"/>
        <w:ind w:firstLine="640"/>
        <w:rPr>
          <w:rFonts w:eastAsia="仿宋_GB2312" w:cs="仿宋_GB2312"/>
          <w:kern w:val="0"/>
          <w:sz w:val="32"/>
          <w:szCs w:val="32"/>
        </w:rPr>
      </w:pPr>
    </w:p>
    <w:p w14:paraId="4AE1FD6E">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一、项目概况</w:t>
      </w:r>
    </w:p>
    <w:p w14:paraId="14840C58">
      <w:pPr>
        <w:spacing w:line="578" w:lineRule="exact"/>
        <w:ind w:firstLine="640"/>
        <w:rPr>
          <w:rFonts w:eastAsia="仿宋_GB2312" w:cs="仿宋_GB2312"/>
          <w:b/>
          <w:kern w:val="0"/>
          <w:sz w:val="32"/>
          <w:szCs w:val="32"/>
        </w:rPr>
      </w:pPr>
      <w:r>
        <w:rPr>
          <w:rFonts w:eastAsia="仿宋_GB2312" w:cs="仿宋_GB2312"/>
          <w:b/>
          <w:kern w:val="0"/>
          <w:sz w:val="32"/>
          <w:szCs w:val="32"/>
        </w:rPr>
        <w:t>（一）项目基本情况。</w:t>
      </w:r>
    </w:p>
    <w:p w14:paraId="447D268F">
      <w:pPr>
        <w:spacing w:line="578" w:lineRule="exact"/>
        <w:ind w:firstLine="640"/>
        <w:rPr>
          <w:rFonts w:eastAsia="仿宋_GB2312" w:cs="仿宋_GB2312"/>
          <w:b/>
          <w:kern w:val="0"/>
          <w:sz w:val="32"/>
          <w:szCs w:val="32"/>
        </w:rPr>
      </w:pPr>
      <w:r>
        <w:rPr>
          <w:rFonts w:eastAsia="仿宋_GB2312" w:cs="仿宋_GB2312"/>
          <w:b/>
          <w:kern w:val="0"/>
          <w:sz w:val="32"/>
          <w:szCs w:val="32"/>
        </w:rPr>
        <w:t>1．说明项目主管部门在该项目管理中的职能。</w:t>
      </w:r>
    </w:p>
    <w:p w14:paraId="473FD40E">
      <w:pPr>
        <w:spacing w:line="578" w:lineRule="exact"/>
        <w:ind w:firstLine="640"/>
        <w:rPr>
          <w:rFonts w:eastAsia="仿宋_GB2312" w:cs="仿宋_GB2312"/>
          <w:kern w:val="0"/>
          <w:sz w:val="32"/>
          <w:szCs w:val="32"/>
        </w:rPr>
      </w:pPr>
      <w:r>
        <w:rPr>
          <w:rFonts w:hint="eastAsia" w:eastAsia="仿宋_GB2312" w:cs="仿宋_GB2312"/>
          <w:kern w:val="0"/>
          <w:sz w:val="32"/>
          <w:szCs w:val="32"/>
        </w:rPr>
        <w:t>攀枝花市水利局作为本项目主管部门，全面履行项目统筹管理职责，牵头开展项目立项审批、实施过程监督、测算流程与结果审核、验收等全流程管理工作，保障项目按照省市级规范要求有序推进、落地见效。</w:t>
      </w:r>
    </w:p>
    <w:p w14:paraId="09FE7496">
      <w:pPr>
        <w:spacing w:line="578" w:lineRule="exact"/>
        <w:ind w:firstLine="640"/>
        <w:rPr>
          <w:rFonts w:eastAsia="仿宋_GB2312" w:cs="仿宋_GB2312"/>
          <w:b/>
          <w:kern w:val="0"/>
          <w:sz w:val="32"/>
          <w:szCs w:val="32"/>
        </w:rPr>
      </w:pPr>
      <w:r>
        <w:rPr>
          <w:rFonts w:eastAsia="仿宋_GB2312" w:cs="仿宋_GB2312"/>
          <w:b/>
          <w:kern w:val="0"/>
          <w:sz w:val="32"/>
          <w:szCs w:val="32"/>
        </w:rPr>
        <w:t>2. 项目立项、资金申报的依据。</w:t>
      </w:r>
    </w:p>
    <w:p w14:paraId="182230BD">
      <w:pPr>
        <w:spacing w:line="578" w:lineRule="exact"/>
        <w:ind w:firstLine="640"/>
        <w:rPr>
          <w:rFonts w:eastAsia="仿宋_GB2312" w:cs="仿宋_GB2312"/>
          <w:kern w:val="0"/>
          <w:sz w:val="32"/>
          <w:szCs w:val="32"/>
        </w:rPr>
      </w:pPr>
      <w:r>
        <w:rPr>
          <w:rFonts w:hint="eastAsia" w:eastAsia="仿宋_GB2312" w:cs="仿宋_GB2312"/>
          <w:kern w:val="0"/>
          <w:sz w:val="32"/>
          <w:szCs w:val="32"/>
        </w:rPr>
        <w:t>为精准掌握攀枝花市中型灌区农田灌溉水利用现状，提升农业用水精细化管理水平，依据四川省水利厅关于农田灌溉水有效利用系数测算工作的年度部署要求，攀枝花市水利局牵头立项下达中型灌区农田灌溉水有效利用系数测算项目。项目资金来源为市级财政资金，总金额为</w:t>
      </w:r>
      <w:r>
        <w:rPr>
          <w:rFonts w:eastAsia="仿宋_GB2312" w:cs="仿宋_GB2312"/>
          <w:kern w:val="0"/>
          <w:sz w:val="32"/>
          <w:szCs w:val="32"/>
        </w:rPr>
        <w:t>25814</w:t>
      </w:r>
      <w:r>
        <w:rPr>
          <w:rFonts w:hint="eastAsia" w:eastAsia="仿宋_GB2312" w:cs="仿宋_GB2312"/>
          <w:kern w:val="0"/>
          <w:sz w:val="32"/>
          <w:szCs w:val="32"/>
        </w:rPr>
        <w:t>元，执行时间为2025年1月1日至2025年12月31日。</w:t>
      </w:r>
    </w:p>
    <w:p w14:paraId="471C1A6F">
      <w:pPr>
        <w:spacing w:line="578" w:lineRule="exact"/>
        <w:ind w:firstLine="640"/>
        <w:rPr>
          <w:rFonts w:eastAsia="仿宋_GB2312" w:cs="仿宋_GB2312"/>
          <w:b/>
          <w:kern w:val="0"/>
          <w:sz w:val="32"/>
          <w:szCs w:val="32"/>
        </w:rPr>
      </w:pPr>
      <w:r>
        <w:rPr>
          <w:rFonts w:eastAsia="仿宋_GB2312" w:cs="仿宋_GB2312"/>
          <w:b/>
          <w:kern w:val="0"/>
          <w:sz w:val="32"/>
          <w:szCs w:val="32"/>
        </w:rPr>
        <w:t>3．资金管理办法制定情况，资金支持具体项目的条件、范围与支持方式概况。</w:t>
      </w:r>
    </w:p>
    <w:p w14:paraId="40670D4A">
      <w:pPr>
        <w:spacing w:line="578" w:lineRule="exact"/>
        <w:ind w:firstLine="640"/>
        <w:rPr>
          <w:rFonts w:eastAsia="仿宋_GB2312" w:cs="仿宋_GB2312"/>
          <w:kern w:val="0"/>
          <w:sz w:val="32"/>
          <w:szCs w:val="32"/>
        </w:rPr>
      </w:pPr>
      <w:r>
        <w:rPr>
          <w:rFonts w:hint="eastAsia" w:eastAsia="仿宋_GB2312" w:cs="仿宋_GB2312"/>
          <w:kern w:val="0"/>
          <w:sz w:val="32"/>
          <w:szCs w:val="32"/>
        </w:rPr>
        <w:t>项目承担单位根据《中华人民共和国会计法》、《中华人民共和国预算法》、《中华人民共和国政府采购法》、财政部《事业单位财务规则》等国家法律法规，结合单位财务管理实际，严格执行《攀枝花市农林科学研究院财务管理办法》和《攀枝花市农林科学研究院非政府采购类项目的采购管理办法》。项目经费实行专款专用、专账核算管理，建立逐级审核报账制度，明确报账流程、审核权限及票据规范，确保资金使用合法、合规、高效，从制度层面防范资金使用风险。</w:t>
      </w:r>
    </w:p>
    <w:p w14:paraId="6431F1BB">
      <w:pPr>
        <w:spacing w:line="578" w:lineRule="exact"/>
        <w:ind w:firstLine="640"/>
        <w:rPr>
          <w:rFonts w:eastAsia="仿宋_GB2312" w:cs="仿宋_GB2312"/>
          <w:b/>
          <w:kern w:val="0"/>
          <w:sz w:val="32"/>
          <w:szCs w:val="32"/>
        </w:rPr>
      </w:pPr>
      <w:r>
        <w:rPr>
          <w:rFonts w:eastAsia="仿宋_GB2312" w:cs="仿宋_GB2312"/>
          <w:b/>
          <w:kern w:val="0"/>
          <w:sz w:val="32"/>
          <w:szCs w:val="32"/>
        </w:rPr>
        <w:t>4. 资金分配的原则及考虑因素。</w:t>
      </w:r>
    </w:p>
    <w:p w14:paraId="7FF08FC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本项目测算范围覆盖全市 9 个中型灌区，测算田块数量多、跨区域广、工作周期长，野外作业劳动强度大，且对灌溉水量数据采集、分析测算的精度要求极高。项目资金分配严格遵循《四川省地市级农田灌溉水有效利用系数测算分析技术指导细则（2025 年修订版）》及省、市级相关工作要求，优先保障测算设备购置、现场实测等核心工作开支。2025年项目资金预算：购置设备费1.8万元、材料费0.5万元、燃料动力费0.3万元、差旅费0.2万元、劳务费0.2万元，共预计3.0万元。</w:t>
      </w:r>
    </w:p>
    <w:p w14:paraId="2CC66752">
      <w:pPr>
        <w:spacing w:line="578" w:lineRule="exact"/>
        <w:ind w:firstLine="640"/>
        <w:rPr>
          <w:rFonts w:eastAsia="仿宋_GB2312" w:cs="仿宋_GB2312"/>
          <w:b/>
          <w:kern w:val="0"/>
          <w:sz w:val="32"/>
          <w:szCs w:val="32"/>
        </w:rPr>
      </w:pPr>
      <w:r>
        <w:rPr>
          <w:rFonts w:eastAsia="仿宋_GB2312" w:cs="仿宋_GB2312"/>
          <w:b/>
          <w:kern w:val="0"/>
          <w:sz w:val="32"/>
          <w:szCs w:val="32"/>
        </w:rPr>
        <w:t>（二）项目绩效目标。</w:t>
      </w:r>
    </w:p>
    <w:p w14:paraId="39BD672A">
      <w:pPr>
        <w:spacing w:line="578" w:lineRule="exact"/>
        <w:ind w:firstLine="640"/>
        <w:rPr>
          <w:rFonts w:eastAsia="仿宋_GB2312" w:cs="仿宋_GB2312"/>
          <w:b/>
          <w:kern w:val="0"/>
          <w:sz w:val="32"/>
          <w:szCs w:val="32"/>
        </w:rPr>
      </w:pPr>
      <w:r>
        <w:rPr>
          <w:rFonts w:eastAsia="仿宋_GB2312" w:cs="仿宋_GB2312"/>
          <w:b/>
          <w:kern w:val="0"/>
          <w:sz w:val="32"/>
          <w:szCs w:val="32"/>
        </w:rPr>
        <w:t>1.项目主要内容。</w:t>
      </w:r>
    </w:p>
    <w:p w14:paraId="4745A644">
      <w:pPr>
        <w:spacing w:line="578" w:lineRule="exact"/>
        <w:ind w:firstLine="640"/>
        <w:rPr>
          <w:rFonts w:eastAsia="仿宋_GB2312" w:cs="仿宋_GB2312"/>
          <w:kern w:val="0"/>
          <w:sz w:val="32"/>
          <w:szCs w:val="32"/>
        </w:rPr>
      </w:pPr>
      <w:r>
        <w:rPr>
          <w:rFonts w:hint="eastAsia" w:eastAsia="仿宋_GB2312" w:cs="仿宋_GB2312"/>
          <w:kern w:val="0"/>
          <w:sz w:val="32"/>
          <w:szCs w:val="32"/>
        </w:rPr>
        <w:t>（1）基础资料收集与灌区摸排：通过实地考察、现场调研、座谈交流等方式，全面摸排全市 9 个中型灌区的基本情况，收集灌区地理区位、作物种植结构、灌溉工程设施、灌溉方式等基础数据。</w:t>
      </w:r>
    </w:p>
    <w:p w14:paraId="7D78798D">
      <w:pPr>
        <w:spacing w:line="578" w:lineRule="exact"/>
        <w:ind w:firstLine="640"/>
        <w:rPr>
          <w:rFonts w:eastAsia="仿宋_GB2312" w:cs="仿宋_GB2312"/>
          <w:kern w:val="0"/>
          <w:sz w:val="32"/>
          <w:szCs w:val="32"/>
        </w:rPr>
      </w:pPr>
      <w:r>
        <w:rPr>
          <w:rFonts w:hint="eastAsia" w:eastAsia="仿宋_GB2312" w:cs="仿宋_GB2312"/>
          <w:kern w:val="0"/>
          <w:sz w:val="32"/>
          <w:szCs w:val="32"/>
        </w:rPr>
        <w:t>（2）典型田块科学选取：严格对照省、市级测算技术规范，根据各灌区主导作物种类、种植面积、灌溉方式，筛选确定测算代表性作物；在中型灌区上下游分别选取典型田块，明确 1 种代表性作物至少选取 3 个典型田块，单个中型灌区典型田块数量不少于 6 个。</w:t>
      </w:r>
    </w:p>
    <w:p w14:paraId="28FA50B9">
      <w:pPr>
        <w:spacing w:line="578" w:lineRule="exact"/>
        <w:ind w:firstLine="640"/>
        <w:rPr>
          <w:rFonts w:eastAsia="仿宋_GB2312" w:cs="仿宋_GB2312"/>
          <w:kern w:val="0"/>
          <w:sz w:val="32"/>
          <w:szCs w:val="32"/>
        </w:rPr>
      </w:pPr>
      <w:r>
        <w:rPr>
          <w:rFonts w:hint="eastAsia" w:eastAsia="仿宋_GB2312" w:cs="仿宋_GB2312"/>
          <w:kern w:val="0"/>
          <w:sz w:val="32"/>
          <w:szCs w:val="32"/>
        </w:rPr>
        <w:t>（3）田间实测与数据测算分析：安排专业技术人员开展田间常态化监测，精准收集、记录每个典型田块的年灌水量、灌水周期、土壤墒情、气象数据等信息；严格按照《四川省地市级农田灌溉水有效利用系数测算分析技术指导细则（2025 年修订版）》要求，开展攀枝花市农田灌溉水利用系数数据整理、核算、分析工作。</w:t>
      </w:r>
    </w:p>
    <w:p w14:paraId="536D3BE4">
      <w:pPr>
        <w:spacing w:line="578" w:lineRule="exact"/>
        <w:ind w:firstLine="640"/>
        <w:rPr>
          <w:rFonts w:eastAsia="仿宋_GB2312" w:cs="仿宋_GB2312"/>
          <w:kern w:val="0"/>
          <w:sz w:val="32"/>
          <w:szCs w:val="32"/>
        </w:rPr>
      </w:pPr>
      <w:r>
        <w:rPr>
          <w:rFonts w:hint="eastAsia" w:eastAsia="仿宋_GB2312" w:cs="仿宋_GB2312"/>
          <w:kern w:val="0"/>
          <w:sz w:val="32"/>
          <w:szCs w:val="32"/>
        </w:rPr>
        <w:t>（4）数据填报：按时完成省级农田灌溉水有效利用系数测算信息管理平台数据填报、资料上传工作，配合完成省、市级主管部门对测算成果的审核工作。</w:t>
      </w:r>
    </w:p>
    <w:p w14:paraId="73F7EDFA">
      <w:pPr>
        <w:spacing w:line="578" w:lineRule="exact"/>
        <w:ind w:firstLine="640"/>
        <w:rPr>
          <w:rFonts w:eastAsia="仿宋_GB2312" w:cs="仿宋_GB2312"/>
          <w:b/>
          <w:kern w:val="0"/>
          <w:sz w:val="32"/>
          <w:szCs w:val="32"/>
        </w:rPr>
      </w:pPr>
      <w:r>
        <w:rPr>
          <w:rFonts w:eastAsia="仿宋_GB2312" w:cs="仿宋_GB2312"/>
          <w:b/>
          <w:kern w:val="0"/>
          <w:sz w:val="32"/>
          <w:szCs w:val="32"/>
        </w:rPr>
        <w:t>2. 项目应实现的具体绩效目标，包括目标的量化、细化情况以及项目实施进度计划等。</w:t>
      </w:r>
    </w:p>
    <w:p w14:paraId="4ACE276F">
      <w:pPr>
        <w:spacing w:line="578" w:lineRule="exact"/>
        <w:ind w:firstLine="640"/>
        <w:rPr>
          <w:rFonts w:eastAsia="仿宋_GB2312" w:cs="仿宋_GB2312"/>
          <w:kern w:val="0"/>
          <w:sz w:val="32"/>
          <w:szCs w:val="32"/>
        </w:rPr>
      </w:pPr>
      <w:r>
        <w:rPr>
          <w:rFonts w:hint="eastAsia" w:eastAsia="仿宋_GB2312" w:cs="仿宋_GB2312"/>
          <w:kern w:val="0"/>
          <w:sz w:val="32"/>
          <w:szCs w:val="32"/>
        </w:rPr>
        <w:t>首先选取典型田块，然后依照规定方法测算分析典型田块年亩均净灌溉用水量，进而分析计算样点灌区年净灌溉用水量；最后，以样点灌区年净灌溉用水量、毛灌溉用水量为基础，分析计算样点灌区农田灌溉水有效利用系数。</w:t>
      </w:r>
    </w:p>
    <w:p w14:paraId="0BE3A9CB">
      <w:pPr>
        <w:spacing w:line="578" w:lineRule="exact"/>
        <w:ind w:firstLine="640"/>
        <w:rPr>
          <w:rFonts w:eastAsia="仿宋_GB2312" w:cs="仿宋_GB2312"/>
          <w:kern w:val="0"/>
          <w:sz w:val="32"/>
          <w:szCs w:val="32"/>
        </w:rPr>
      </w:pPr>
      <w:r>
        <w:rPr>
          <w:rFonts w:hint="eastAsia" w:eastAsia="仿宋_GB2312" w:cs="仿宋_GB2312"/>
          <w:kern w:val="0"/>
          <w:sz w:val="32"/>
          <w:szCs w:val="32"/>
        </w:rPr>
        <w:t>本项目采用首尾法，分作物采用直接量测法对攀枝花市9个中型灌区进行灌溉水有效系数测算分析，有利于进一步提高主管部门用水决策的科学性，有利于进一步提升我市农田灌溉水利用率。按照指导细则要求，对每个灌区选取了6个以上典型田块，进行为期一年的测算工作，具体实施时间为2025.1.1-2025.12.31，其中1-12月在田间完成测算和分析工作，并于12月份完成省级系统填报工作，并由省市级相关部门审核。</w:t>
      </w:r>
    </w:p>
    <w:p w14:paraId="0D2F4A19">
      <w:pPr>
        <w:spacing w:line="578" w:lineRule="exact"/>
        <w:ind w:firstLine="640"/>
        <w:rPr>
          <w:rFonts w:eastAsia="仿宋_GB2312" w:cs="仿宋_GB2312"/>
          <w:b/>
          <w:kern w:val="0"/>
          <w:sz w:val="32"/>
          <w:szCs w:val="32"/>
        </w:rPr>
      </w:pPr>
      <w:r>
        <w:rPr>
          <w:rFonts w:eastAsia="仿宋_GB2312" w:cs="仿宋_GB2312"/>
          <w:b/>
          <w:kern w:val="0"/>
          <w:sz w:val="32"/>
          <w:szCs w:val="32"/>
        </w:rPr>
        <w:t>3. 分析评价申报内容是否与实际相符，申报目标是否合理可行。</w:t>
      </w:r>
    </w:p>
    <w:p w14:paraId="5BC33C6F">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本项目申报内容严格依据省、市级农田灌溉水有效利用系数测算年度工作要求制定，完全贴合攀枝花市 9 个中型灌区灌溉用水测算工作实际，申报内容与项目实施实际高度相符。各项量化指标、工作要求均严格遵循《四川省地市级农田灌溉水有效利用系数测算分析技术指导细则（2025 年修订版）》，且自 2020 年以来，我市持续开展该测算项目，项目组已积累丰富的实操经验，在省、市级主管部门的常态化监督指导下，历年均能按质按量完成测算任务并通过考核。项目申报目标具有较强的合理性、可行性和可实现性。</w:t>
      </w:r>
    </w:p>
    <w:p w14:paraId="6224AE40">
      <w:pPr>
        <w:spacing w:line="578" w:lineRule="exact"/>
        <w:ind w:firstLine="640"/>
        <w:rPr>
          <w:rFonts w:eastAsia="仿宋_GB2312" w:cs="仿宋_GB2312"/>
          <w:b/>
          <w:kern w:val="0"/>
          <w:sz w:val="32"/>
          <w:szCs w:val="32"/>
        </w:rPr>
      </w:pPr>
      <w:r>
        <w:rPr>
          <w:rFonts w:eastAsia="仿宋_GB2312" w:cs="仿宋_GB2312"/>
          <w:b/>
          <w:kern w:val="0"/>
          <w:sz w:val="32"/>
          <w:szCs w:val="32"/>
        </w:rPr>
        <w:t>（三）项目自评步骤及方法。</w:t>
      </w:r>
    </w:p>
    <w:p w14:paraId="12BB7304">
      <w:pPr>
        <w:spacing w:line="578" w:lineRule="exact"/>
        <w:ind w:firstLine="640"/>
        <w:rPr>
          <w:rFonts w:eastAsia="仿宋_GB2312" w:cs="仿宋_GB2312"/>
          <w:kern w:val="0"/>
          <w:sz w:val="32"/>
          <w:szCs w:val="32"/>
        </w:rPr>
      </w:pPr>
      <w:r>
        <w:rPr>
          <w:rFonts w:hint="eastAsia" w:eastAsia="仿宋_GB2312" w:cs="仿宋_GB2312"/>
          <w:kern w:val="0"/>
          <w:sz w:val="32"/>
          <w:szCs w:val="32"/>
        </w:rPr>
        <w:t>该项目年初由省市级相关部门对项目绩效目标进行安排部署，年中到项目进行监督，年末对项目绩效进行考核。</w:t>
      </w:r>
    </w:p>
    <w:p w14:paraId="2B00635A">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二、项目资金申报及使用情况</w:t>
      </w:r>
    </w:p>
    <w:p w14:paraId="7D1E5892">
      <w:pPr>
        <w:spacing w:line="578" w:lineRule="exact"/>
        <w:ind w:firstLine="640"/>
        <w:rPr>
          <w:rFonts w:eastAsia="仿宋_GB2312" w:cs="仿宋_GB2312"/>
          <w:b/>
          <w:kern w:val="0"/>
          <w:sz w:val="32"/>
          <w:szCs w:val="32"/>
        </w:rPr>
      </w:pPr>
      <w:r>
        <w:rPr>
          <w:rFonts w:eastAsia="仿宋_GB2312" w:cs="仿宋_GB2312"/>
          <w:b/>
          <w:kern w:val="0"/>
          <w:sz w:val="32"/>
          <w:szCs w:val="32"/>
        </w:rPr>
        <w:t>（一）项目资金申报及批复情况。</w:t>
      </w:r>
    </w:p>
    <w:p w14:paraId="37A60F6A">
      <w:pPr>
        <w:spacing w:line="578" w:lineRule="exact"/>
        <w:ind w:firstLine="640"/>
        <w:rPr>
          <w:rFonts w:eastAsia="仿宋_GB2312" w:cs="仿宋_GB2312"/>
          <w:kern w:val="0"/>
          <w:sz w:val="32"/>
          <w:szCs w:val="32"/>
        </w:rPr>
      </w:pPr>
      <w:r>
        <w:rPr>
          <w:rFonts w:hint="eastAsia" w:eastAsia="仿宋_GB2312" w:cs="仿宋_GB2312"/>
          <w:kern w:val="0"/>
          <w:sz w:val="32"/>
          <w:szCs w:val="32"/>
        </w:rPr>
        <w:t>该项目资金由市农林科学院相关负责同志向市水利局申报，项目资金由市水利局立项下达，项目资金来源为市级财政资金（编号：攀财资农[2025]52号）。</w:t>
      </w:r>
    </w:p>
    <w:p w14:paraId="0E475A76">
      <w:pPr>
        <w:spacing w:line="578" w:lineRule="exact"/>
        <w:ind w:firstLine="640"/>
        <w:rPr>
          <w:rFonts w:eastAsia="仿宋_GB2312" w:cs="仿宋_GB2312"/>
          <w:kern w:val="0"/>
          <w:sz w:val="32"/>
          <w:szCs w:val="32"/>
        </w:rPr>
      </w:pPr>
      <w:r>
        <w:rPr>
          <w:rFonts w:eastAsia="仿宋_GB2312" w:cs="仿宋_GB2312"/>
          <w:b/>
          <w:kern w:val="0"/>
          <w:sz w:val="32"/>
          <w:szCs w:val="32"/>
        </w:rPr>
        <w:t>（二）资金计划、到位及使用情况。</w:t>
      </w:r>
    </w:p>
    <w:p w14:paraId="6863B637">
      <w:pPr>
        <w:spacing w:line="578" w:lineRule="exact"/>
        <w:ind w:firstLine="640"/>
        <w:rPr>
          <w:rFonts w:eastAsia="仿宋_GB2312" w:cs="仿宋_GB2312"/>
          <w:b/>
          <w:kern w:val="0"/>
          <w:sz w:val="32"/>
          <w:szCs w:val="32"/>
        </w:rPr>
      </w:pPr>
      <w:r>
        <w:rPr>
          <w:rFonts w:eastAsia="仿宋_GB2312" w:cs="仿宋_GB2312"/>
          <w:b/>
          <w:kern w:val="0"/>
          <w:sz w:val="32"/>
          <w:szCs w:val="32"/>
        </w:rPr>
        <w:t>1．资金计划</w:t>
      </w:r>
    </w:p>
    <w:p w14:paraId="370F9781">
      <w:pPr>
        <w:spacing w:line="578" w:lineRule="exact"/>
        <w:ind w:firstLine="640"/>
        <w:rPr>
          <w:rFonts w:eastAsia="仿宋_GB2312" w:cs="仿宋_GB2312"/>
          <w:kern w:val="0"/>
          <w:sz w:val="32"/>
          <w:szCs w:val="32"/>
        </w:rPr>
      </w:pPr>
      <w:r>
        <w:rPr>
          <w:rFonts w:hint="eastAsia" w:eastAsia="仿宋_GB2312" w:cs="仿宋_GB2312"/>
          <w:kern w:val="0"/>
          <w:sz w:val="32"/>
          <w:szCs w:val="32"/>
        </w:rPr>
        <w:t>该项目资金来源为市级财政资金（编号：攀财资农[2025]52号），无其他资金来源。</w:t>
      </w:r>
    </w:p>
    <w:p w14:paraId="64C494DF">
      <w:pPr>
        <w:spacing w:line="578" w:lineRule="exact"/>
        <w:ind w:firstLine="640"/>
        <w:rPr>
          <w:rFonts w:eastAsia="仿宋_GB2312" w:cs="仿宋_GB2312"/>
          <w:b/>
          <w:kern w:val="0"/>
          <w:sz w:val="32"/>
          <w:szCs w:val="32"/>
        </w:rPr>
      </w:pPr>
      <w:r>
        <w:rPr>
          <w:rFonts w:eastAsia="仿宋_GB2312" w:cs="仿宋_GB2312"/>
          <w:b/>
          <w:kern w:val="0"/>
          <w:sz w:val="32"/>
          <w:szCs w:val="32"/>
        </w:rPr>
        <w:t>2．资金到位</w:t>
      </w:r>
    </w:p>
    <w:p w14:paraId="2ACFC5C6">
      <w:pPr>
        <w:spacing w:line="578" w:lineRule="exact"/>
        <w:ind w:firstLine="640"/>
        <w:rPr>
          <w:rFonts w:eastAsia="仿宋_GB2312" w:cs="仿宋_GB2312"/>
          <w:kern w:val="0"/>
          <w:sz w:val="32"/>
          <w:szCs w:val="32"/>
        </w:rPr>
      </w:pPr>
      <w:r>
        <w:rPr>
          <w:rFonts w:hint="eastAsia" w:eastAsia="仿宋_GB2312" w:cs="仿宋_GB2312"/>
          <w:kern w:val="0"/>
          <w:sz w:val="32"/>
          <w:szCs w:val="32"/>
        </w:rPr>
        <w:t>项目资金于2025年12月一次性到位。</w:t>
      </w:r>
    </w:p>
    <w:p w14:paraId="181576AD">
      <w:pPr>
        <w:spacing w:line="578" w:lineRule="exact"/>
        <w:ind w:firstLine="640"/>
        <w:rPr>
          <w:rFonts w:eastAsia="仿宋_GB2312" w:cs="仿宋_GB2312"/>
          <w:b/>
          <w:kern w:val="0"/>
          <w:sz w:val="32"/>
          <w:szCs w:val="32"/>
        </w:rPr>
      </w:pPr>
      <w:r>
        <w:rPr>
          <w:rFonts w:eastAsia="仿宋_GB2312" w:cs="仿宋_GB2312"/>
          <w:b/>
          <w:kern w:val="0"/>
          <w:sz w:val="32"/>
          <w:szCs w:val="32"/>
        </w:rPr>
        <w:t>3．资金使用</w:t>
      </w:r>
    </w:p>
    <w:p w14:paraId="0220E1DE">
      <w:pPr>
        <w:spacing w:line="578" w:lineRule="exact"/>
        <w:ind w:firstLine="640"/>
        <w:rPr>
          <w:rFonts w:eastAsia="仿宋_GB2312" w:cs="仿宋_GB2312"/>
          <w:kern w:val="0"/>
          <w:sz w:val="32"/>
          <w:szCs w:val="32"/>
        </w:rPr>
      </w:pPr>
      <w:r>
        <w:rPr>
          <w:rFonts w:hint="eastAsia" w:eastAsia="仿宋_GB2312" w:cs="仿宋_GB2312"/>
          <w:kern w:val="0"/>
          <w:sz w:val="32"/>
          <w:szCs w:val="32"/>
        </w:rPr>
        <w:t>2025年该项目零工费0.195万元、差旅费0.112万元、仪器设备1.778万元及材料费0.4964万元，共计2.5814万元。该项目严格执行财务管理制度，账务处理及时，会计核算规范且实际使用与预算相符。</w:t>
      </w:r>
    </w:p>
    <w:p w14:paraId="09C09B27">
      <w:pPr>
        <w:spacing w:line="578" w:lineRule="exact"/>
        <w:ind w:firstLine="640"/>
        <w:rPr>
          <w:rFonts w:eastAsia="仿宋_GB2312" w:cs="仿宋_GB2312"/>
          <w:b/>
          <w:kern w:val="0"/>
          <w:sz w:val="32"/>
          <w:szCs w:val="32"/>
        </w:rPr>
      </w:pPr>
      <w:r>
        <w:rPr>
          <w:rFonts w:eastAsia="仿宋_GB2312" w:cs="仿宋_GB2312"/>
          <w:b/>
          <w:kern w:val="0"/>
          <w:sz w:val="32"/>
          <w:szCs w:val="32"/>
        </w:rPr>
        <w:t>（三）项目财务管理情况。</w:t>
      </w:r>
    </w:p>
    <w:p w14:paraId="26986051">
      <w:pPr>
        <w:spacing w:line="578" w:lineRule="exact"/>
        <w:ind w:firstLine="640"/>
        <w:rPr>
          <w:rFonts w:eastAsia="仿宋_GB2312" w:cs="仿宋_GB2312"/>
          <w:kern w:val="0"/>
          <w:sz w:val="32"/>
          <w:szCs w:val="32"/>
        </w:rPr>
      </w:pPr>
      <w:r>
        <w:rPr>
          <w:rFonts w:hint="eastAsia" w:eastAsia="仿宋_GB2312" w:cs="仿宋_GB2312"/>
          <w:kern w:val="0"/>
          <w:sz w:val="32"/>
          <w:szCs w:val="32"/>
        </w:rPr>
        <w:t>项目承担单位具有健全项目财务管理制度，配备专职财务人员负责项目资金核算管理，严格执行专款专用、专账核算要求，做到账证相符、账账相符、账实相符。账务处理及时规范，会计核算严格遵循相关要求，对设备购置、材料费、差旅费等支出分类核算、清晰归集，全程未发现财务管理漏洞及资金使用违规问题。</w:t>
      </w:r>
    </w:p>
    <w:p w14:paraId="52E2E526">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三、项目实施及管理情况</w:t>
      </w:r>
    </w:p>
    <w:p w14:paraId="27F94D41">
      <w:pPr>
        <w:spacing w:line="578" w:lineRule="exact"/>
        <w:ind w:firstLine="640"/>
        <w:rPr>
          <w:rFonts w:eastAsia="仿宋_GB2312" w:cs="仿宋_GB2312"/>
          <w:b/>
          <w:kern w:val="0"/>
          <w:sz w:val="32"/>
          <w:szCs w:val="32"/>
        </w:rPr>
      </w:pPr>
      <w:r>
        <w:rPr>
          <w:rFonts w:eastAsia="仿宋_GB2312" w:cs="仿宋_GB2312"/>
          <w:b/>
          <w:kern w:val="0"/>
          <w:sz w:val="32"/>
          <w:szCs w:val="32"/>
        </w:rPr>
        <w:t>（一）项目组织架构及实施流程。</w:t>
      </w:r>
    </w:p>
    <w:p w14:paraId="76EFB7F8">
      <w:pPr>
        <w:spacing w:line="578" w:lineRule="exact"/>
        <w:ind w:firstLine="640"/>
        <w:rPr>
          <w:rFonts w:eastAsia="仿宋_GB2312" w:cs="仿宋_GB2312"/>
          <w:kern w:val="0"/>
          <w:sz w:val="32"/>
          <w:szCs w:val="32"/>
        </w:rPr>
      </w:pPr>
      <w:r>
        <w:rPr>
          <w:rFonts w:hint="eastAsia" w:eastAsia="仿宋_GB2312" w:cs="仿宋_GB2312"/>
          <w:kern w:val="0"/>
          <w:sz w:val="32"/>
          <w:szCs w:val="32"/>
        </w:rPr>
        <w:t>项目承担单位牵头，四川省水科院作为技术支撑单位，攀枝花市水利局为项目的主管部门。年中由省水科院组织线上技术培训，年末对上报系统数据进行考核。市水利局主要负责监督项目、对项目测算过程和结果审核以及验收项目等。</w:t>
      </w:r>
    </w:p>
    <w:p w14:paraId="0A2F360F">
      <w:pPr>
        <w:spacing w:line="578" w:lineRule="exact"/>
        <w:ind w:firstLine="640"/>
        <w:rPr>
          <w:rFonts w:eastAsia="仿宋_GB2312" w:cs="仿宋_GB2312"/>
          <w:kern w:val="0"/>
          <w:sz w:val="32"/>
          <w:szCs w:val="32"/>
        </w:rPr>
      </w:pPr>
      <w:r>
        <w:rPr>
          <w:rFonts w:eastAsia="仿宋_GB2312" w:cs="仿宋_GB2312"/>
          <w:b/>
          <w:kern w:val="0"/>
          <w:sz w:val="32"/>
          <w:szCs w:val="32"/>
        </w:rPr>
        <w:t>（二）项目管理情况。</w:t>
      </w:r>
    </w:p>
    <w:p w14:paraId="46E585E5">
      <w:pPr>
        <w:spacing w:line="578" w:lineRule="exact"/>
        <w:ind w:firstLine="640"/>
        <w:rPr>
          <w:rFonts w:eastAsia="仿宋_GB2312" w:cs="仿宋_GB2312"/>
          <w:kern w:val="0"/>
          <w:sz w:val="32"/>
          <w:szCs w:val="32"/>
        </w:rPr>
      </w:pPr>
      <w:r>
        <w:rPr>
          <w:rFonts w:hint="eastAsia" w:eastAsia="仿宋_GB2312" w:cs="仿宋_GB2312"/>
          <w:kern w:val="0"/>
          <w:sz w:val="32"/>
          <w:szCs w:val="32"/>
        </w:rPr>
        <w:t>该项目的测算工作自项目实施之日起就必须严格按照规范要求完成各项工作，其中省市级相关负责同志进行不定期抽查和监督以及指导，最后在年底进行审核和考核工作，因此该项目执行较为规范。</w:t>
      </w:r>
    </w:p>
    <w:p w14:paraId="33462795">
      <w:pPr>
        <w:spacing w:line="578" w:lineRule="exact"/>
        <w:ind w:firstLine="640"/>
        <w:rPr>
          <w:rFonts w:eastAsia="仿宋_GB2312" w:cs="仿宋_GB2312"/>
          <w:kern w:val="0"/>
          <w:sz w:val="32"/>
          <w:szCs w:val="32"/>
        </w:rPr>
      </w:pPr>
      <w:r>
        <w:rPr>
          <w:rFonts w:eastAsia="仿宋_GB2312" w:cs="仿宋_GB2312"/>
          <w:b/>
          <w:kern w:val="0"/>
          <w:sz w:val="32"/>
          <w:szCs w:val="32"/>
        </w:rPr>
        <w:t>（三）项目监管情况。</w:t>
      </w:r>
    </w:p>
    <w:p w14:paraId="1357CA86">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市级全程监督审核、省级考核的管理模式，项目下达单位对项目制定的实施方案以及项目测算结果进行审核，并根据项目实施方案对项目实施过程进行监督和检查，通过严格监管模式，本项目较好地完成了2025年度的测算工作，并通过省市级的审核和考核工作。</w:t>
      </w:r>
    </w:p>
    <w:p w14:paraId="633BE34F">
      <w:pPr>
        <w:pStyle w:val="39"/>
        <w:spacing w:before="0" w:beforeAutospacing="0" w:after="0" w:afterAutospacing="0" w:line="600" w:lineRule="exact"/>
        <w:ind w:firstLine="720"/>
        <w:jc w:val="both"/>
        <w:rPr>
          <w:rFonts w:eastAsia="仿宋_GB2312" w:cs="仿宋_GB2312"/>
          <w:sz w:val="32"/>
          <w:szCs w:val="32"/>
        </w:rPr>
      </w:pPr>
      <w:r>
        <w:rPr>
          <w:rFonts w:ascii="黑体" w:hAnsi="黑体" w:eastAsia="黑体"/>
          <w:color w:val="000000"/>
          <w:sz w:val="32"/>
          <w:szCs w:val="32"/>
        </w:rPr>
        <w:t>四、项目绩效情况</w:t>
      </w:r>
    </w:p>
    <w:p w14:paraId="3D4A7E5F">
      <w:pPr>
        <w:spacing w:line="578" w:lineRule="exact"/>
        <w:ind w:firstLine="640"/>
        <w:rPr>
          <w:rFonts w:eastAsia="仿宋_GB2312" w:cs="仿宋_GB2312"/>
          <w:b/>
          <w:kern w:val="0"/>
          <w:sz w:val="32"/>
          <w:szCs w:val="32"/>
        </w:rPr>
      </w:pPr>
      <w:r>
        <w:rPr>
          <w:rFonts w:eastAsia="仿宋_GB2312" w:cs="仿宋_GB2312"/>
          <w:b/>
          <w:kern w:val="0"/>
          <w:sz w:val="32"/>
          <w:szCs w:val="32"/>
        </w:rPr>
        <w:t>（一）项目完成情况。</w:t>
      </w:r>
    </w:p>
    <w:p w14:paraId="19C6DB9C">
      <w:pPr>
        <w:spacing w:line="578" w:lineRule="exact"/>
        <w:ind w:firstLine="640"/>
        <w:rPr>
          <w:rFonts w:eastAsia="仿宋_GB2312" w:cs="仿宋_GB2312"/>
          <w:kern w:val="0"/>
          <w:sz w:val="32"/>
          <w:szCs w:val="32"/>
        </w:rPr>
      </w:pPr>
      <w:r>
        <w:rPr>
          <w:rFonts w:hint="eastAsia" w:eastAsia="仿宋_GB2312" w:cs="仿宋_GB2312"/>
          <w:kern w:val="0"/>
          <w:sz w:val="32"/>
          <w:szCs w:val="32"/>
        </w:rPr>
        <w:t>本项目于 2025 年 1 月 1 日正式启动，至 2025 年 12 月 31 日全面完成各项工作任务。严格按照相关规范要求，对我市9个中型灌区农田灌溉水有效利用系数进行测算分析，每个灌区至少选取典型田块6个，根据各典型田块不同作物采用直接量测法测算，并参考典型田块所属作物的灌水定额对每次田间测算的结果进行校核，整理计算得出该灌区年净灌溉用水量。测算工作完成后，中型灌区毛灌溉用水量由各灌区负责人提供。最后在规定的时间内完成地市级灌溉水有效利用系数测算，并在信息管理平台系统中填报上传。</w:t>
      </w:r>
    </w:p>
    <w:p w14:paraId="2422FFD5">
      <w:pPr>
        <w:spacing w:line="578" w:lineRule="exact"/>
        <w:ind w:firstLine="640"/>
        <w:rPr>
          <w:rFonts w:eastAsia="仿宋_GB2312" w:cs="仿宋_GB2312"/>
          <w:kern w:val="0"/>
          <w:sz w:val="32"/>
          <w:szCs w:val="32"/>
        </w:rPr>
      </w:pPr>
      <w:r>
        <w:rPr>
          <w:rFonts w:hint="eastAsia" w:eastAsia="仿宋_GB2312" w:cs="仿宋_GB2312"/>
          <w:kern w:val="0"/>
          <w:sz w:val="32"/>
          <w:szCs w:val="32"/>
        </w:rPr>
        <w:t>本项目管理实行市级全程监督审核、省级考核的管理模式，项目下达单位对项目制定的实施方案以及项目测算结果进行审核，并根据项目实施方案对项目实施过程进行监督和检查；项目承担单位选择技术骨干组成专门的项目组，项目组负责编写项目实施方案，组织项目实施，撰写总结等，院财务室负责对项目经费开支情况进行审核，成本控制和资金使用合理规范，资金结余为0元，院学术委员会负责对项目实施情况进行抽查；项目承担单位科技管理科对项目申报、实施、验收等进行全程监督和管理。本项目自实施以来，每个环节均有严格的制度办法规范工作，并在严格的监督下开展，未出现工作失误等情况。</w:t>
      </w:r>
    </w:p>
    <w:p w14:paraId="240A4F12">
      <w:pPr>
        <w:spacing w:line="578" w:lineRule="exact"/>
        <w:ind w:firstLine="640"/>
        <w:rPr>
          <w:rFonts w:eastAsia="仿宋_GB2312" w:cs="仿宋_GB2312"/>
          <w:b/>
          <w:kern w:val="0"/>
          <w:sz w:val="32"/>
          <w:szCs w:val="32"/>
        </w:rPr>
      </w:pPr>
      <w:r>
        <w:rPr>
          <w:rFonts w:eastAsia="仿宋_GB2312" w:cs="仿宋_GB2312"/>
          <w:b/>
          <w:kern w:val="0"/>
          <w:sz w:val="32"/>
          <w:szCs w:val="32"/>
        </w:rPr>
        <w:t>（二）项目效益情况。</w:t>
      </w:r>
    </w:p>
    <w:p w14:paraId="01807D09">
      <w:pPr>
        <w:spacing w:line="578" w:lineRule="exact"/>
        <w:ind w:firstLine="640"/>
        <w:rPr>
          <w:rFonts w:eastAsia="仿宋_GB2312" w:cs="仿宋_GB2312"/>
          <w:kern w:val="0"/>
          <w:sz w:val="32"/>
          <w:szCs w:val="32"/>
        </w:rPr>
      </w:pPr>
      <w:r>
        <w:rPr>
          <w:rFonts w:hint="eastAsia" w:eastAsia="仿宋_GB2312" w:cs="仿宋_GB2312"/>
          <w:kern w:val="0"/>
          <w:sz w:val="32"/>
          <w:szCs w:val="32"/>
        </w:rPr>
        <w:t>本项目通过精准测算全市中型灌区农田灌溉水有效利用系数，全面掌握了我市农业用水现状和灌溉水利用效率，为政府及主管部门制定农业用水政策、优化水资源配置、推进节水农业发展提供了客观、准确的决策依据。测算成果通过省市级主管部门考核，服务对象满意度95%。</w:t>
      </w:r>
    </w:p>
    <w:p w14:paraId="189CD036">
      <w:pPr>
        <w:pStyle w:val="39"/>
        <w:spacing w:before="0" w:beforeAutospacing="0" w:after="0" w:afterAutospacing="0" w:line="600" w:lineRule="exact"/>
        <w:ind w:firstLine="720"/>
        <w:jc w:val="both"/>
        <w:rPr>
          <w:rFonts w:ascii="黑体" w:hAnsi="黑体" w:eastAsia="黑体"/>
          <w:color w:val="000000"/>
          <w:sz w:val="32"/>
          <w:szCs w:val="32"/>
        </w:rPr>
      </w:pPr>
      <w:r>
        <w:rPr>
          <w:rFonts w:ascii="黑体" w:hAnsi="黑体" w:eastAsia="黑体"/>
          <w:color w:val="000000"/>
          <w:sz w:val="32"/>
          <w:szCs w:val="32"/>
        </w:rPr>
        <w:t>五、评价结论及建议</w:t>
      </w:r>
    </w:p>
    <w:p w14:paraId="3844D717">
      <w:pPr>
        <w:spacing w:line="578" w:lineRule="exact"/>
        <w:ind w:firstLine="640"/>
        <w:rPr>
          <w:rFonts w:eastAsia="仿宋_GB2312" w:cs="仿宋_GB2312"/>
          <w:b/>
          <w:kern w:val="0"/>
          <w:sz w:val="32"/>
          <w:szCs w:val="32"/>
        </w:rPr>
      </w:pPr>
      <w:r>
        <w:rPr>
          <w:rFonts w:eastAsia="仿宋_GB2312" w:cs="仿宋_GB2312"/>
          <w:b/>
          <w:kern w:val="0"/>
          <w:sz w:val="32"/>
          <w:szCs w:val="32"/>
        </w:rPr>
        <w:t>（一）评价结论。</w:t>
      </w:r>
    </w:p>
    <w:p w14:paraId="111843C7">
      <w:pPr>
        <w:spacing w:line="578" w:lineRule="exact"/>
        <w:ind w:firstLine="640"/>
        <w:rPr>
          <w:rFonts w:eastAsia="仿宋_GB2312" w:cs="仿宋_GB2312"/>
          <w:kern w:val="0"/>
          <w:sz w:val="32"/>
          <w:szCs w:val="32"/>
        </w:rPr>
      </w:pPr>
      <w:r>
        <w:rPr>
          <w:rFonts w:hint="eastAsia" w:eastAsia="仿宋_GB2312" w:cs="仿宋_GB2312"/>
          <w:kern w:val="0"/>
          <w:sz w:val="32"/>
          <w:szCs w:val="32"/>
        </w:rPr>
        <w:t xml:space="preserve">2025 年攀枝花市农田灌溉水有效利用系数测算项目，在省、市级主管部门的指导监督下，项目承担单位严格按照《四川省地市级农田灌溉水有效利用系数测算分析技术指导细则（2025 年修订版）》及项目实施方案要求，圆满完成了全市 9 个中型灌区的测算工作。项目资金使用合规高效、专款专用，财务管理规范透明；项目实施流程标准化、过程监管多层次、成果质量高，为我市农业用水决策优化、节水农业发展提供了重要的数据支撑和技术参考。综合项目完成情况、资金使用情况、绩效目标实现情况、效益发挥情况等方面进行全面评价，本项目绩效自评总分为 </w:t>
      </w:r>
      <w:r>
        <w:rPr>
          <w:rFonts w:eastAsia="仿宋_GB2312" w:cs="仿宋_GB2312"/>
          <w:kern w:val="0"/>
          <w:sz w:val="32"/>
          <w:szCs w:val="32"/>
        </w:rPr>
        <w:t>100</w:t>
      </w:r>
      <w:r>
        <w:rPr>
          <w:rFonts w:hint="eastAsia" w:eastAsia="仿宋_GB2312" w:cs="仿宋_GB2312"/>
          <w:kern w:val="0"/>
          <w:sz w:val="32"/>
          <w:szCs w:val="32"/>
        </w:rPr>
        <w:t>分。</w:t>
      </w:r>
    </w:p>
    <w:p w14:paraId="641EEA71">
      <w:pPr>
        <w:spacing w:line="578" w:lineRule="exact"/>
        <w:ind w:firstLine="640"/>
        <w:rPr>
          <w:rFonts w:eastAsia="仿宋_GB2312" w:cs="仿宋_GB2312"/>
          <w:b/>
          <w:kern w:val="0"/>
          <w:sz w:val="32"/>
          <w:szCs w:val="32"/>
        </w:rPr>
      </w:pPr>
      <w:r>
        <w:rPr>
          <w:rFonts w:eastAsia="仿宋_GB2312" w:cs="仿宋_GB2312"/>
          <w:b/>
          <w:kern w:val="0"/>
          <w:sz w:val="32"/>
          <w:szCs w:val="32"/>
        </w:rPr>
        <w:t>（二）存在的问题。</w:t>
      </w:r>
    </w:p>
    <w:p w14:paraId="2F4E2AA0">
      <w:pPr>
        <w:spacing w:line="578" w:lineRule="exact"/>
        <w:ind w:firstLine="640"/>
        <w:rPr>
          <w:rFonts w:eastAsia="仿宋_GB2312" w:cs="仿宋_GB2312"/>
          <w:kern w:val="0"/>
          <w:sz w:val="32"/>
          <w:szCs w:val="32"/>
        </w:rPr>
      </w:pPr>
      <w:r>
        <w:rPr>
          <w:rFonts w:hint="eastAsia" w:eastAsia="仿宋_GB2312" w:cs="仿宋_GB2312"/>
          <w:kern w:val="0"/>
          <w:sz w:val="32"/>
          <w:szCs w:val="32"/>
        </w:rPr>
        <w:t>1、项目工作量较大。根据指导细则要求，必须采用“首尾测算分析法”测定农田灌溉水有效利用系数，且一般需采用“直接测量法”。在典型田块的选择上，对于播种面积超过灌区总播种面积10%以上的作物，须分作物选取典型田块，每种作物典型田块需≥3，中型灌区需分上下游选取作物与典型田块，因此需要测量收集的数据量较多，涉及区域范围较广，工作量较大。</w:t>
      </w:r>
    </w:p>
    <w:p w14:paraId="541DC5B3">
      <w:pPr>
        <w:spacing w:line="578" w:lineRule="exact"/>
        <w:ind w:firstLine="640"/>
        <w:rPr>
          <w:rFonts w:eastAsia="仿宋_GB2312" w:cs="仿宋_GB2312"/>
          <w:kern w:val="0"/>
          <w:sz w:val="32"/>
          <w:szCs w:val="32"/>
        </w:rPr>
      </w:pPr>
      <w:r>
        <w:rPr>
          <w:rFonts w:hint="eastAsia" w:eastAsia="仿宋_GB2312" w:cs="仿宋_GB2312"/>
          <w:kern w:val="0"/>
          <w:sz w:val="32"/>
          <w:szCs w:val="32"/>
        </w:rPr>
        <w:t>2、省级指导细则有变化。2025年省级指导细则较之前有较大更新，针对典型灌区选取与典型田块选取做出了新的要求，所以一些测算工作较之前年份有变化。</w:t>
      </w:r>
    </w:p>
    <w:p w14:paraId="1EB7B6FA">
      <w:pPr>
        <w:spacing w:line="578" w:lineRule="exact"/>
        <w:ind w:firstLine="640"/>
        <w:rPr>
          <w:rFonts w:eastAsia="仿宋_GB2312" w:cs="仿宋_GB2312"/>
          <w:b/>
          <w:kern w:val="0"/>
          <w:sz w:val="32"/>
          <w:szCs w:val="32"/>
        </w:rPr>
      </w:pPr>
      <w:r>
        <w:rPr>
          <w:rFonts w:eastAsia="仿宋_GB2312" w:cs="仿宋_GB2312"/>
          <w:b/>
          <w:kern w:val="0"/>
          <w:sz w:val="32"/>
          <w:szCs w:val="32"/>
        </w:rPr>
        <w:t>（三）相关建议。</w:t>
      </w:r>
    </w:p>
    <w:p w14:paraId="540AF383">
      <w:pPr>
        <w:spacing w:line="578" w:lineRule="exact"/>
        <w:ind w:firstLine="640"/>
        <w:rPr>
          <w:rFonts w:eastAsia="仿宋_GB2312" w:cs="仿宋_GB2312"/>
          <w:kern w:val="0"/>
          <w:sz w:val="32"/>
          <w:szCs w:val="32"/>
        </w:rPr>
      </w:pPr>
      <w:r>
        <w:rPr>
          <w:rFonts w:hint="eastAsia" w:eastAsia="仿宋_GB2312" w:cs="仿宋_GB2312"/>
          <w:kern w:val="0"/>
          <w:sz w:val="32"/>
          <w:szCs w:val="32"/>
        </w:rPr>
        <w:t>建议优化工作流程，根据实际情况选择测量方法与测量设备，建议在典型田块设置长期监测设备，减少工作量，提高数据准确性。同时，省市级相关部门结合水权水价改革、灌溉试验站建设等加大人力和资金投入力度。</w:t>
      </w:r>
    </w:p>
    <w:p w14:paraId="71DF9A17">
      <w:pPr>
        <w:spacing w:line="578" w:lineRule="exact"/>
        <w:ind w:firstLine="640"/>
        <w:rPr>
          <w:rFonts w:eastAsia="仿宋_GB2312" w:cs="仿宋_GB2312"/>
          <w:kern w:val="0"/>
          <w:sz w:val="32"/>
          <w:szCs w:val="32"/>
        </w:rPr>
      </w:pPr>
    </w:p>
    <w:p w14:paraId="1EB82AE3">
      <w:pPr>
        <w:spacing w:line="578" w:lineRule="exact"/>
        <w:ind w:firstLine="640"/>
        <w:jc w:val="center"/>
        <w:rPr>
          <w:rFonts w:ascii="方正小标宋简体" w:eastAsia="方正小标宋简体" w:cs="仿宋_GB2312"/>
          <w:kern w:val="0"/>
          <w:sz w:val="40"/>
          <w:szCs w:val="40"/>
        </w:rPr>
      </w:pPr>
    </w:p>
    <w:p w14:paraId="2BF1FAA1">
      <w:pPr>
        <w:spacing w:line="578" w:lineRule="exact"/>
        <w:ind w:firstLine="640"/>
        <w:jc w:val="center"/>
        <w:rPr>
          <w:rFonts w:ascii="方正小标宋简体" w:eastAsia="方正小标宋简体" w:cs="仿宋_GB2312"/>
          <w:kern w:val="0"/>
          <w:sz w:val="40"/>
          <w:szCs w:val="40"/>
        </w:rPr>
      </w:pPr>
    </w:p>
    <w:p w14:paraId="77897FBC">
      <w:pPr>
        <w:spacing w:line="578" w:lineRule="exact"/>
        <w:ind w:firstLine="640"/>
        <w:jc w:val="center"/>
        <w:rPr>
          <w:rFonts w:ascii="方正小标宋简体" w:eastAsia="方正小标宋简体" w:cs="仿宋_GB2312"/>
          <w:kern w:val="0"/>
          <w:sz w:val="40"/>
          <w:szCs w:val="40"/>
        </w:rPr>
      </w:pPr>
    </w:p>
    <w:p w14:paraId="79A27F09">
      <w:pPr>
        <w:spacing w:line="578" w:lineRule="exact"/>
        <w:ind w:firstLine="640"/>
        <w:jc w:val="center"/>
        <w:rPr>
          <w:rFonts w:ascii="方正小标宋简体" w:eastAsia="方正小标宋简体" w:cs="仿宋_GB2312"/>
          <w:kern w:val="0"/>
          <w:sz w:val="40"/>
          <w:szCs w:val="40"/>
        </w:rPr>
      </w:pPr>
    </w:p>
    <w:p w14:paraId="28299B8A">
      <w:pPr>
        <w:spacing w:line="578" w:lineRule="exact"/>
        <w:ind w:firstLine="640"/>
        <w:jc w:val="center"/>
        <w:rPr>
          <w:rFonts w:ascii="方正小标宋简体" w:eastAsia="方正小标宋简体" w:cs="仿宋_GB2312"/>
          <w:kern w:val="0"/>
          <w:sz w:val="40"/>
          <w:szCs w:val="40"/>
        </w:rPr>
      </w:pPr>
    </w:p>
    <w:p w14:paraId="692E9D7C">
      <w:pPr>
        <w:spacing w:line="578" w:lineRule="exact"/>
        <w:ind w:firstLine="640"/>
        <w:jc w:val="center"/>
        <w:rPr>
          <w:rFonts w:ascii="方正小标宋简体" w:eastAsia="方正小标宋简体" w:cs="仿宋_GB2312"/>
          <w:kern w:val="0"/>
          <w:sz w:val="40"/>
          <w:szCs w:val="40"/>
        </w:rPr>
      </w:pPr>
    </w:p>
    <w:p w14:paraId="6771B80B">
      <w:pPr>
        <w:spacing w:line="578" w:lineRule="exact"/>
        <w:ind w:firstLine="640"/>
        <w:jc w:val="center"/>
        <w:rPr>
          <w:rFonts w:ascii="方正小标宋简体" w:eastAsia="方正小标宋简体" w:cs="仿宋_GB2312"/>
          <w:kern w:val="0"/>
          <w:sz w:val="40"/>
          <w:szCs w:val="40"/>
        </w:rPr>
      </w:pPr>
    </w:p>
    <w:p w14:paraId="249A3E11">
      <w:pPr>
        <w:spacing w:line="578" w:lineRule="exact"/>
        <w:ind w:firstLine="640"/>
        <w:jc w:val="center"/>
        <w:rPr>
          <w:rFonts w:ascii="方正小标宋简体" w:eastAsia="方正小标宋简体" w:cs="仿宋_GB2312"/>
          <w:kern w:val="0"/>
          <w:sz w:val="40"/>
          <w:szCs w:val="40"/>
        </w:rPr>
      </w:pPr>
      <w:r>
        <w:rPr>
          <w:rFonts w:ascii="方正小标宋简体" w:eastAsia="方正小标宋简体" w:cs="仿宋_GB2312"/>
          <w:kern w:val="0"/>
          <w:sz w:val="40"/>
          <w:szCs w:val="40"/>
        </w:rPr>
        <w:br w:type="page"/>
      </w:r>
    </w:p>
    <w:p w14:paraId="21B64C71">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专项预算项目支出绩效自评报告</w:t>
      </w:r>
    </w:p>
    <w:p w14:paraId="5D49B8C4">
      <w:pPr>
        <w:spacing w:line="578" w:lineRule="exact"/>
        <w:ind w:firstLine="640"/>
        <w:jc w:val="center"/>
        <w:rPr>
          <w:rFonts w:ascii="方正小标宋简体" w:eastAsia="方正小标宋简体" w:cs="仿宋_GB2312"/>
          <w:kern w:val="0"/>
          <w:sz w:val="40"/>
          <w:szCs w:val="40"/>
        </w:rPr>
      </w:pPr>
      <w:r>
        <w:rPr>
          <w:rFonts w:hint="eastAsia" w:ascii="方正小标宋简体" w:eastAsia="方正小标宋简体" w:cs="仿宋_GB2312"/>
          <w:kern w:val="0"/>
          <w:sz w:val="40"/>
          <w:szCs w:val="40"/>
        </w:rPr>
        <w:t>种业振兴与特色优势产业培育项目</w:t>
      </w:r>
    </w:p>
    <w:p w14:paraId="14227215">
      <w:pPr>
        <w:spacing w:line="578" w:lineRule="exact"/>
        <w:ind w:firstLine="640"/>
        <w:rPr>
          <w:rFonts w:eastAsia="仿宋_GB2312" w:cs="仿宋_GB2312"/>
          <w:kern w:val="0"/>
          <w:sz w:val="32"/>
          <w:szCs w:val="32"/>
        </w:rPr>
      </w:pPr>
    </w:p>
    <w:p w14:paraId="585C2CBF">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一、项目概况</w:t>
      </w:r>
    </w:p>
    <w:p w14:paraId="7411EDF4">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（一）项目基本情况。</w:t>
      </w:r>
    </w:p>
    <w:p w14:paraId="2708AA72">
      <w:pPr>
        <w:spacing w:line="578" w:lineRule="exact"/>
        <w:ind w:firstLine="640"/>
        <w:rPr>
          <w:rFonts w:eastAsia="仿宋_GB2312" w:cs="仿宋_GB2312"/>
          <w:b/>
          <w:bCs/>
          <w:kern w:val="0"/>
          <w:sz w:val="32"/>
          <w:szCs w:val="32"/>
        </w:rPr>
      </w:pPr>
      <w:r>
        <w:rPr>
          <w:rFonts w:eastAsia="仿宋_GB2312" w:cs="仿宋_GB2312"/>
          <w:b/>
          <w:bCs/>
          <w:kern w:val="0"/>
          <w:sz w:val="32"/>
          <w:szCs w:val="32"/>
        </w:rPr>
        <w:t>1．项目主管部门在项目管理中的职能。</w:t>
      </w:r>
    </w:p>
    <w:p w14:paraId="5BB4C13F">
      <w:pPr>
        <w:spacing w:line="578" w:lineRule="exact"/>
        <w:ind w:firstLine="640"/>
        <w:rPr>
          <w:rFonts w:eastAsia="仿宋_GB2312" w:cs="仿宋_GB2312"/>
          <w:kern w:val="0"/>
          <w:sz w:val="32"/>
          <w:szCs w:val="32"/>
        </w:rPr>
      </w:pPr>
      <w:r>
        <w:rPr>
          <w:rFonts w:eastAsia="仿宋_GB2312" w:cs="仿宋_GB2312"/>
          <w:kern w:val="0"/>
          <w:sz w:val="32"/>
          <w:szCs w:val="32"/>
        </w:rPr>
        <w:t>项目主管部门是市农业农村局和市财政局，市农业农村局负责项目过程实施的监管；市财政局负责项目资金使用监管。都对项目绩效进行事前评估进行项目论证。</w:t>
      </w:r>
    </w:p>
    <w:p w14:paraId="717436B3">
      <w:pPr>
        <w:spacing w:line="578" w:lineRule="exact"/>
        <w:ind w:firstLine="643" w:firstLineChars="200"/>
        <w:rPr>
          <w:rFonts w:eastAsia="仿宋_GB2312" w:cs="仿宋_GB2312"/>
          <w:kern w:val="0"/>
          <w:sz w:val="32"/>
          <w:szCs w:val="32"/>
        </w:rPr>
      </w:pPr>
      <w:r>
        <w:rPr>
          <w:rFonts w:hint="eastAsia" w:eastAsia="仿宋_GB2312" w:cs="仿宋_GB2312"/>
          <w:b/>
          <w:bCs/>
          <w:kern w:val="0"/>
          <w:sz w:val="32"/>
          <w:szCs w:val="32"/>
        </w:rPr>
        <w:t>2</w:t>
      </w:r>
      <w:r>
        <w:rPr>
          <w:rFonts w:eastAsia="仿宋_GB2312" w:cs="仿宋_GB2312"/>
          <w:b/>
          <w:bCs/>
          <w:kern w:val="0"/>
          <w:sz w:val="32"/>
          <w:szCs w:val="32"/>
        </w:rPr>
        <w:t>.项目立项、资金申报的依据。</w:t>
      </w:r>
    </w:p>
    <w:p w14:paraId="1C957E67">
      <w:pPr>
        <w:spacing w:line="578" w:lineRule="exact"/>
        <w:ind w:firstLine="640"/>
        <w:rPr>
          <w:rFonts w:eastAsia="仿宋_GB2312" w:cs="仿宋_GB2312"/>
          <w:kern w:val="0"/>
          <w:sz w:val="32"/>
          <w:szCs w:val="32"/>
        </w:rPr>
      </w:pPr>
      <w:r>
        <w:rPr>
          <w:rFonts w:eastAsia="仿宋_GB2312" w:cs="仿宋_GB2312"/>
          <w:kern w:val="0"/>
          <w:sz w:val="32"/>
          <w:szCs w:val="32"/>
        </w:rPr>
        <w:t>2025年，市农业农村局、市财政局向市农林科学院安排市级衔接推进乡村振兴资金150万元（攀财资农〔2025〕20号），资金用途为种业振兴与特色优势产业培育。市农林科学院严格按照</w:t>
      </w:r>
      <w:r>
        <w:rPr>
          <w:rFonts w:hint="eastAsia" w:eastAsia="仿宋_GB2312" w:cs="仿宋_GB2312"/>
          <w:kern w:val="0"/>
          <w:sz w:val="32"/>
          <w:szCs w:val="32"/>
        </w:rPr>
        <w:t>资金</w:t>
      </w:r>
      <w:r>
        <w:rPr>
          <w:rFonts w:eastAsia="仿宋_GB2312" w:cs="仿宋_GB2312"/>
          <w:kern w:val="0"/>
          <w:sz w:val="32"/>
          <w:szCs w:val="32"/>
        </w:rPr>
        <w:t>管理办法和项目指南</w:t>
      </w:r>
      <w:r>
        <w:rPr>
          <w:rFonts w:hint="eastAsia" w:eastAsia="仿宋_GB2312" w:cs="仿宋_GB2312"/>
          <w:kern w:val="0"/>
          <w:sz w:val="32"/>
          <w:szCs w:val="32"/>
        </w:rPr>
        <w:t>要求</w:t>
      </w:r>
      <w:r>
        <w:rPr>
          <w:rFonts w:eastAsia="仿宋_GB2312" w:cs="仿宋_GB2312"/>
          <w:kern w:val="0"/>
          <w:sz w:val="32"/>
          <w:szCs w:val="32"/>
        </w:rPr>
        <w:t>进行</w:t>
      </w:r>
      <w:r>
        <w:rPr>
          <w:rFonts w:hint="eastAsia" w:eastAsia="仿宋_GB2312" w:cs="仿宋_GB2312"/>
          <w:kern w:val="0"/>
          <w:sz w:val="32"/>
          <w:szCs w:val="32"/>
        </w:rPr>
        <w:t>申报立项，程序和要求均符合</w:t>
      </w:r>
      <w:r>
        <w:rPr>
          <w:rFonts w:eastAsia="仿宋_GB2312" w:cs="仿宋_GB2312"/>
          <w:kern w:val="0"/>
          <w:sz w:val="32"/>
          <w:szCs w:val="32"/>
        </w:rPr>
        <w:t>市委市政府决策部署。</w:t>
      </w:r>
    </w:p>
    <w:p w14:paraId="1E0E00EA">
      <w:pPr>
        <w:spacing w:line="578" w:lineRule="exact"/>
        <w:ind w:firstLine="643" w:firstLineChars="200"/>
        <w:rPr>
          <w:rFonts w:eastAsia="仿宋_GB2312" w:cs="仿宋_GB2312"/>
          <w:kern w:val="0"/>
          <w:sz w:val="32"/>
          <w:szCs w:val="32"/>
        </w:rPr>
      </w:pPr>
      <w:r>
        <w:rPr>
          <w:rFonts w:hint="eastAsia" w:eastAsia="仿宋_GB2312" w:cs="仿宋_GB2312"/>
          <w:b/>
          <w:bCs/>
          <w:kern w:val="0"/>
          <w:sz w:val="32"/>
          <w:szCs w:val="32"/>
        </w:rPr>
        <w:t>3</w:t>
      </w:r>
      <w:r>
        <w:rPr>
          <w:rFonts w:eastAsia="仿宋_GB2312" w:cs="仿宋_GB2312"/>
          <w:b/>
          <w:bCs/>
          <w:kern w:val="0"/>
          <w:sz w:val="32"/>
          <w:szCs w:val="32"/>
        </w:rPr>
        <w:t>.资金管理办法制定情况，资金支持具体项目的条件、范围与支持方式概况。</w:t>
      </w:r>
    </w:p>
    <w:p w14:paraId="61340347">
      <w:pPr>
        <w:spacing w:line="578" w:lineRule="exact"/>
        <w:ind w:firstLine="640" w:firstLineChars="200"/>
        <w:rPr>
          <w:rFonts w:eastAsia="仿宋_GB2312" w:cs="仿宋_GB2312"/>
          <w:kern w:val="0"/>
          <w:sz w:val="32"/>
          <w:szCs w:val="32"/>
        </w:rPr>
      </w:pPr>
      <w:r>
        <w:rPr>
          <w:rFonts w:eastAsia="仿宋_GB2312" w:cs="仿宋_GB2312"/>
          <w:kern w:val="0"/>
          <w:sz w:val="32"/>
          <w:szCs w:val="32"/>
        </w:rPr>
        <w:t>项目资金</w:t>
      </w:r>
      <w:r>
        <w:rPr>
          <w:rFonts w:hint="eastAsia" w:eastAsia="仿宋_GB2312" w:cs="仿宋_GB2312"/>
          <w:kern w:val="0"/>
          <w:sz w:val="32"/>
          <w:szCs w:val="32"/>
        </w:rPr>
        <w:t>使用</w:t>
      </w:r>
      <w:r>
        <w:rPr>
          <w:rFonts w:eastAsia="仿宋_GB2312" w:cs="仿宋_GB2312"/>
          <w:kern w:val="0"/>
          <w:sz w:val="32"/>
          <w:szCs w:val="32"/>
        </w:rPr>
        <w:t>严格按照《攀枝花市财政衔接推进乡村振兴补助管理办法》执行，项目资金支持巩固脱贫攻坚成果与乡村振兴有效衔接，支持的范围为种业振兴与特色优势产业培育，项目资金支持方式为直接下达项目资金150万元。</w:t>
      </w:r>
    </w:p>
    <w:p w14:paraId="6D69E8D2">
      <w:pPr>
        <w:spacing w:line="578" w:lineRule="exact"/>
        <w:ind w:firstLine="643" w:firstLineChars="200"/>
        <w:rPr>
          <w:rFonts w:eastAsia="仿宋_GB2312" w:cs="仿宋_GB2312"/>
          <w:kern w:val="0"/>
          <w:sz w:val="32"/>
          <w:szCs w:val="32"/>
        </w:rPr>
      </w:pPr>
      <w:r>
        <w:rPr>
          <w:rFonts w:hint="eastAsia" w:eastAsia="仿宋_GB2312" w:cs="仿宋_GB2312"/>
          <w:b/>
          <w:bCs/>
          <w:kern w:val="0"/>
          <w:sz w:val="32"/>
          <w:szCs w:val="32"/>
        </w:rPr>
        <w:t>4</w:t>
      </w:r>
      <w:r>
        <w:rPr>
          <w:rFonts w:eastAsia="仿宋_GB2312" w:cs="仿宋_GB2312"/>
          <w:b/>
          <w:bCs/>
          <w:kern w:val="0"/>
          <w:sz w:val="32"/>
          <w:szCs w:val="32"/>
        </w:rPr>
        <w:t>.资金分配的原则及考虑因素。</w:t>
      </w:r>
    </w:p>
    <w:p w14:paraId="2EFC11AB">
      <w:pPr>
        <w:spacing w:line="578" w:lineRule="exact"/>
        <w:ind w:firstLine="640" w:firstLineChars="200"/>
        <w:rPr>
          <w:rFonts w:eastAsia="仿宋_GB2312" w:cs="仿宋_GB2312"/>
          <w:kern w:val="0"/>
          <w:sz w:val="32"/>
          <w:szCs w:val="32"/>
        </w:rPr>
      </w:pPr>
      <w:r>
        <w:rPr>
          <w:rFonts w:eastAsia="仿宋_GB2312" w:cs="仿宋_GB2312"/>
          <w:kern w:val="0"/>
          <w:sz w:val="32"/>
          <w:szCs w:val="32"/>
        </w:rPr>
        <w:t>资金分配严格遵循资金使用公平性原则、安全性原则和合规性的原则，最大限度用好衔接资金，根据设立的10个子课题承担的目标任务合理分配资金，既要保障种业创新研究的延续性，又要兼顾特色优势产业培育，让资金更多向特色优势产业发展倾斜。</w:t>
      </w:r>
    </w:p>
    <w:p w14:paraId="40E0BA2C">
      <w:pPr>
        <w:spacing w:line="578" w:lineRule="exact"/>
        <w:ind w:firstLine="640"/>
        <w:rPr>
          <w:rFonts w:eastAsia="仿宋_GB2312" w:cs="仿宋_GB2312"/>
          <w:b/>
          <w:kern w:val="0"/>
          <w:sz w:val="32"/>
          <w:szCs w:val="32"/>
        </w:rPr>
      </w:pPr>
      <w:r>
        <w:rPr>
          <w:rFonts w:hint="eastAsia" w:eastAsia="仿宋_GB2312" w:cs="仿宋_GB2312"/>
          <w:b/>
          <w:kern w:val="0"/>
          <w:sz w:val="32"/>
          <w:szCs w:val="32"/>
        </w:rPr>
        <w:t>（二）项目绩效目标。</w:t>
      </w:r>
    </w:p>
    <w:p w14:paraId="19972178">
      <w:pPr>
        <w:spacing w:line="578" w:lineRule="exact"/>
        <w:ind w:firstLine="640"/>
        <w:rPr>
          <w:rFonts w:eastAsia="仿宋_GB2312" w:cs="仿宋_GB2312"/>
          <w:b/>
          <w:bCs/>
          <w:kern w:val="0"/>
          <w:sz w:val="32"/>
          <w:szCs w:val="32"/>
        </w:rPr>
      </w:pPr>
      <w:r>
        <w:rPr>
          <w:rFonts w:eastAsia="仿宋_GB2312" w:cs="仿宋_GB2312"/>
          <w:b/>
          <w:bCs/>
          <w:kern w:val="0"/>
          <w:sz w:val="32"/>
          <w:szCs w:val="32"/>
        </w:rPr>
        <w:t>1. 项目主要内容。</w:t>
      </w:r>
    </w:p>
    <w:p w14:paraId="7D07BA1F">
      <w:pPr>
        <w:spacing w:line="578" w:lineRule="exact"/>
        <w:ind w:firstLine="640"/>
        <w:rPr>
          <w:rFonts w:eastAsia="仿宋_GB2312" w:cs="仿宋_GB2312"/>
          <w:kern w:val="0"/>
          <w:sz w:val="32"/>
          <w:szCs w:val="32"/>
        </w:rPr>
      </w:pPr>
      <w:r>
        <w:rPr>
          <w:rFonts w:eastAsia="仿宋_GB2312" w:cs="仿宋_GB2312"/>
          <w:kern w:val="0"/>
          <w:sz w:val="32"/>
          <w:szCs w:val="32"/>
        </w:rPr>
        <w:t>2025年市级衔接推进乡村振兴资金</w:t>
      </w:r>
      <w:r>
        <w:rPr>
          <w:rFonts w:hint="eastAsia" w:eastAsia="仿宋_GB2312" w:cs="仿宋_GB2312"/>
          <w:kern w:val="0"/>
          <w:sz w:val="32"/>
          <w:szCs w:val="32"/>
        </w:rPr>
        <w:t>—</w:t>
      </w:r>
      <w:r>
        <w:rPr>
          <w:rFonts w:eastAsia="仿宋_GB2312" w:cs="仿宋_GB2312"/>
          <w:kern w:val="0"/>
          <w:sz w:val="32"/>
          <w:szCs w:val="32"/>
        </w:rPr>
        <w:t>种业振兴与特色优势产业培育项目</w:t>
      </w:r>
      <w:r>
        <w:rPr>
          <w:rFonts w:hint="eastAsia" w:eastAsia="仿宋_GB2312" w:cs="仿宋_GB2312"/>
          <w:kern w:val="0"/>
          <w:sz w:val="32"/>
          <w:szCs w:val="32"/>
        </w:rPr>
        <w:t>，</w:t>
      </w:r>
      <w:r>
        <w:rPr>
          <w:rFonts w:eastAsia="仿宋_GB2312" w:cs="仿宋_GB2312"/>
          <w:kern w:val="0"/>
          <w:sz w:val="32"/>
          <w:szCs w:val="32"/>
        </w:rPr>
        <w:t>设置1名项目主持人负责项目总体实施，下设10个子课题，每个子课题设1名课题负责人，一是开展芒果、乡土花卉、饲草、粮食作物、块菌等种业创新。</w:t>
      </w:r>
      <w:r>
        <w:rPr>
          <w:rFonts w:hint="eastAsia" w:eastAsia="仿宋_GB2312" w:cs="仿宋_GB2312"/>
          <w:kern w:val="0"/>
          <w:sz w:val="32"/>
          <w:szCs w:val="32"/>
        </w:rPr>
        <w:t>二是开展</w:t>
      </w:r>
      <w:r>
        <w:rPr>
          <w:rFonts w:eastAsia="仿宋_GB2312" w:cs="仿宋_GB2312"/>
          <w:kern w:val="0"/>
          <w:sz w:val="32"/>
          <w:szCs w:val="32"/>
        </w:rPr>
        <w:t>林（樱桃）+魔芋、樱桃+人参果、赤松茸和林下中药材等特色优势产业培育。</w:t>
      </w:r>
    </w:p>
    <w:p w14:paraId="0004236F">
      <w:pPr>
        <w:spacing w:line="578" w:lineRule="exact"/>
        <w:ind w:firstLine="640"/>
        <w:rPr>
          <w:rFonts w:eastAsia="仿宋_GB2312" w:cs="仿宋_GB2312"/>
          <w:b/>
          <w:bCs/>
          <w:kern w:val="0"/>
          <w:sz w:val="32"/>
          <w:szCs w:val="32"/>
        </w:rPr>
      </w:pPr>
      <w:r>
        <w:rPr>
          <w:rFonts w:eastAsia="仿宋_GB2312" w:cs="仿宋_GB2312"/>
          <w:b/>
          <w:bCs/>
          <w:kern w:val="0"/>
          <w:sz w:val="32"/>
          <w:szCs w:val="32"/>
        </w:rPr>
        <w:t>2.项目应实现的具体绩效目标，包括目标的量化、细化情况以及项目实施进度计划等。</w:t>
      </w:r>
    </w:p>
    <w:p w14:paraId="5B115023">
      <w:pPr>
        <w:spacing w:line="578" w:lineRule="exact"/>
        <w:ind w:firstLine="640"/>
        <w:rPr>
          <w:rFonts w:eastAsia="仿宋_GB2312" w:cs="仿宋_GB2312"/>
          <w:kern w:val="0"/>
          <w:sz w:val="32"/>
          <w:szCs w:val="32"/>
        </w:rPr>
      </w:pPr>
      <w:r>
        <w:rPr>
          <w:rFonts w:eastAsia="仿宋_GB2312" w:cs="仿宋_GB2312"/>
          <w:b/>
          <w:bCs/>
          <w:kern w:val="0"/>
          <w:sz w:val="32"/>
          <w:szCs w:val="32"/>
        </w:rPr>
        <w:t>（1）总体绩效目标。</w:t>
      </w:r>
      <w:r>
        <w:rPr>
          <w:rFonts w:eastAsia="仿宋_GB2312" w:cs="仿宋_GB2312"/>
          <w:kern w:val="0"/>
          <w:sz w:val="32"/>
          <w:szCs w:val="32"/>
        </w:rPr>
        <w:t>围</w:t>
      </w:r>
      <w:r>
        <w:rPr>
          <w:rFonts w:hint="eastAsia" w:eastAsia="仿宋_GB2312" w:cs="仿宋_GB2312"/>
          <w:kern w:val="0"/>
          <w:sz w:val="32"/>
          <w:szCs w:val="32"/>
        </w:rPr>
        <w:t>绕“两区三地一粮仓一门户”定位和现代农业“</w:t>
      </w:r>
      <w:r>
        <w:rPr>
          <w:rFonts w:eastAsia="仿宋_GB2312" w:cs="仿宋_GB2312"/>
          <w:kern w:val="0"/>
          <w:sz w:val="32"/>
          <w:szCs w:val="32"/>
        </w:rPr>
        <w:t>4+1</w:t>
      </w:r>
      <w:r>
        <w:rPr>
          <w:rFonts w:hint="eastAsia" w:eastAsia="仿宋_GB2312" w:cs="仿宋_GB2312"/>
          <w:kern w:val="0"/>
          <w:sz w:val="32"/>
          <w:szCs w:val="32"/>
        </w:rPr>
        <w:t>”产业体系建设要求，</w:t>
      </w:r>
      <w:r>
        <w:rPr>
          <w:rFonts w:eastAsia="仿宋_GB2312" w:cs="仿宋_GB2312"/>
          <w:kern w:val="0"/>
          <w:sz w:val="32"/>
          <w:szCs w:val="32"/>
        </w:rPr>
        <w:t>大力推进现代农业产业建圈强链。聚焦种业创新链，大力开展芒果、大豆、藜麦、牧草、乡土绿化植物等新品种培育，夯实种业基础；聚焦现代特色农业生态圈建设，示范推广一批以赤松茸、魔芋、人参果、中药材等为代表的农业科技成果，助力共同富裕试验区建设。保存、收集品种（种质）资源200份；筛选出适宜品种（种质资源）6个；建立科技成果转化基地5个，面积300亩；培训农民次数2000人次。</w:t>
      </w:r>
    </w:p>
    <w:p w14:paraId="5D619DC4">
      <w:pPr>
        <w:spacing w:line="578" w:lineRule="exact"/>
        <w:ind w:firstLine="640"/>
        <w:rPr>
          <w:rFonts w:eastAsia="仿宋_GB2312" w:cs="仿宋_GB2312"/>
          <w:b/>
          <w:bCs/>
          <w:kern w:val="0"/>
          <w:sz w:val="32"/>
          <w:szCs w:val="32"/>
        </w:rPr>
      </w:pPr>
      <w:r>
        <w:rPr>
          <w:rFonts w:eastAsia="仿宋_GB2312" w:cs="仿宋_GB2312"/>
          <w:b/>
          <w:bCs/>
          <w:kern w:val="0"/>
          <w:sz w:val="32"/>
          <w:szCs w:val="32"/>
        </w:rPr>
        <w:t>（2）具体绩效目标。</w:t>
      </w:r>
    </w:p>
    <w:p w14:paraId="0F5BFC6D">
      <w:pPr>
        <w:spacing w:line="578" w:lineRule="exact"/>
        <w:ind w:firstLine="640"/>
        <w:rPr>
          <w:rFonts w:eastAsia="仿宋_GB2312" w:cs="仿宋_GB2312"/>
          <w:kern w:val="0"/>
          <w:sz w:val="32"/>
          <w:szCs w:val="32"/>
        </w:rPr>
      </w:pPr>
      <w:r>
        <w:rPr>
          <w:rFonts w:hint="eastAsia" w:eastAsia="仿宋_GB2312" w:cs="仿宋_GB2312"/>
          <w:kern w:val="0"/>
          <w:sz w:val="32"/>
          <w:szCs w:val="32"/>
        </w:rPr>
        <w:t>①</w:t>
      </w:r>
      <w:r>
        <w:rPr>
          <w:rFonts w:eastAsia="仿宋_GB2312" w:cs="仿宋_GB2312"/>
          <w:kern w:val="0"/>
          <w:sz w:val="32"/>
          <w:szCs w:val="32"/>
        </w:rPr>
        <w:t>保存、收集品种（种质）资源200份，其中芒果、石榴种质资源14份；大豆、藜麦、玉米种质资源100份；乡土花卉种质资源30份；牧草种质资源20份；赤松茸种质资源7份；人参果、草莓、樱桃种质资源份9份；川续断种质资源20份。</w:t>
      </w:r>
    </w:p>
    <w:p w14:paraId="065AE888">
      <w:pPr>
        <w:spacing w:line="578" w:lineRule="exact"/>
        <w:ind w:firstLine="640"/>
        <w:rPr>
          <w:rFonts w:eastAsia="仿宋_GB2312" w:cs="仿宋_GB2312"/>
          <w:kern w:val="0"/>
          <w:sz w:val="32"/>
          <w:szCs w:val="32"/>
        </w:rPr>
      </w:pPr>
      <w:r>
        <w:rPr>
          <w:rFonts w:hint="eastAsia" w:eastAsia="仿宋_GB2312" w:cs="仿宋_GB2312"/>
          <w:kern w:val="0"/>
          <w:sz w:val="32"/>
          <w:szCs w:val="32"/>
        </w:rPr>
        <w:t>②</w:t>
      </w:r>
      <w:r>
        <w:rPr>
          <w:rFonts w:eastAsia="仿宋_GB2312" w:cs="仿宋_GB2312"/>
          <w:kern w:val="0"/>
          <w:sz w:val="32"/>
          <w:szCs w:val="32"/>
        </w:rPr>
        <w:t>筛选适宜品种（种质资源）6个，其中芒果新品种1个；大豆、藜麦或玉米种质1个；樱桃或人参果1个；适宜攀枝花中高山地区种植的牧草品种1个；适合推广的乡土花卉品种1个；赤松茸品种1个。</w:t>
      </w:r>
    </w:p>
    <w:p w14:paraId="56F34BE0">
      <w:pPr>
        <w:spacing w:line="578" w:lineRule="exact"/>
        <w:ind w:firstLine="640"/>
        <w:rPr>
          <w:rFonts w:eastAsia="仿宋_GB2312" w:cs="仿宋_GB2312"/>
          <w:kern w:val="0"/>
          <w:sz w:val="32"/>
          <w:szCs w:val="32"/>
        </w:rPr>
      </w:pPr>
      <w:r>
        <w:rPr>
          <w:rFonts w:hint="eastAsia" w:eastAsia="仿宋_GB2312" w:cs="仿宋_GB2312"/>
          <w:kern w:val="0"/>
          <w:sz w:val="32"/>
          <w:szCs w:val="32"/>
        </w:rPr>
        <w:t>③</w:t>
      </w:r>
      <w:r>
        <w:rPr>
          <w:rFonts w:eastAsia="仿宋_GB2312" w:cs="仿宋_GB2312"/>
          <w:kern w:val="0"/>
          <w:sz w:val="32"/>
          <w:szCs w:val="32"/>
        </w:rPr>
        <w:t>建立科技成果转化示范基地5个，面积300亩以上。建立“樱桃+人参果”示范基地1个，面积100亩；建立赤松茸栽培示范基地1个，面积30亩；建立“林（樱桃）+魔芋”示范基地1个，面积150亩；建立林下中药材示范基地20亩。建立红骨羊“放牧+补饲”技术示范基地1个，块菌示范推广5亩。</w:t>
      </w:r>
    </w:p>
    <w:p w14:paraId="79549021">
      <w:pPr>
        <w:spacing w:line="578" w:lineRule="exact"/>
        <w:ind w:firstLine="640"/>
        <w:rPr>
          <w:rFonts w:eastAsia="仿宋_GB2312" w:cs="仿宋_GB2312"/>
          <w:kern w:val="0"/>
          <w:sz w:val="32"/>
          <w:szCs w:val="32"/>
        </w:rPr>
      </w:pPr>
      <w:r>
        <w:rPr>
          <w:rFonts w:hint="eastAsia" w:eastAsia="仿宋_GB2312" w:cs="仿宋_GB2312"/>
          <w:kern w:val="0"/>
          <w:sz w:val="32"/>
          <w:szCs w:val="32"/>
        </w:rPr>
        <w:t>④</w:t>
      </w:r>
      <w:r>
        <w:rPr>
          <w:rFonts w:eastAsia="仿宋_GB2312" w:cs="仿宋_GB2312"/>
          <w:kern w:val="0"/>
          <w:sz w:val="32"/>
          <w:szCs w:val="32"/>
        </w:rPr>
        <w:t>培训农民2000人次。开展“樱桃+魔芋”、“樱桃+人参果”、赤松茸栽培、块菌种植、红骨羊标准化养殖等技术培训指导，培训农户2000人次。</w:t>
      </w:r>
    </w:p>
    <w:p w14:paraId="46E068D0">
      <w:pPr>
        <w:spacing w:line="578" w:lineRule="exact"/>
        <w:ind w:firstLine="640"/>
        <w:rPr>
          <w:rFonts w:eastAsia="仿宋_GB2312" w:cs="仿宋_GB2312"/>
          <w:kern w:val="0"/>
          <w:sz w:val="32"/>
          <w:szCs w:val="32"/>
        </w:rPr>
      </w:pPr>
      <w:r>
        <w:rPr>
          <w:rFonts w:hint="eastAsia" w:eastAsia="仿宋_GB2312" w:cs="仿宋_GB2312"/>
          <w:kern w:val="0"/>
          <w:sz w:val="32"/>
          <w:szCs w:val="32"/>
        </w:rPr>
        <w:t>⑤</w:t>
      </w:r>
      <w:r>
        <w:rPr>
          <w:rFonts w:eastAsia="仿宋_GB2312" w:cs="仿宋_GB2312"/>
          <w:kern w:val="0"/>
          <w:sz w:val="32"/>
          <w:szCs w:val="32"/>
        </w:rPr>
        <w:t>基地建设任务指标完成率达到90%以上。本项目所涉及的科技示范基地建设任务完成率达到90%以上。</w:t>
      </w:r>
    </w:p>
    <w:p w14:paraId="6E4D10DC">
      <w:pPr>
        <w:spacing w:line="578" w:lineRule="exact"/>
        <w:ind w:firstLine="640"/>
        <w:rPr>
          <w:rFonts w:eastAsia="仿宋_GB2312" w:cs="仿宋_GB2312"/>
          <w:b/>
          <w:bCs/>
          <w:kern w:val="0"/>
          <w:sz w:val="32"/>
          <w:szCs w:val="32"/>
        </w:rPr>
      </w:pPr>
      <w:r>
        <w:rPr>
          <w:rFonts w:hint="eastAsia" w:eastAsia="仿宋_GB2312" w:cs="仿宋_GB2312"/>
          <w:b/>
          <w:bCs/>
          <w:kern w:val="0"/>
          <w:sz w:val="32"/>
          <w:szCs w:val="32"/>
        </w:rPr>
        <w:t>3</w:t>
      </w:r>
      <w:r>
        <w:rPr>
          <w:rFonts w:eastAsia="仿宋_GB2312" w:cs="仿宋_GB2312"/>
          <w:b/>
          <w:bCs/>
          <w:kern w:val="0"/>
          <w:sz w:val="32"/>
          <w:szCs w:val="32"/>
        </w:rPr>
        <w:t>.项目实施进度计划</w:t>
      </w:r>
    </w:p>
    <w:p w14:paraId="102F726B">
      <w:pPr>
        <w:spacing w:line="578" w:lineRule="exact"/>
        <w:ind w:firstLine="640"/>
        <w:rPr>
          <w:rFonts w:eastAsia="仿宋_GB2312" w:cs="仿宋_GB2312"/>
          <w:kern w:val="0"/>
          <w:sz w:val="32"/>
          <w:szCs w:val="32"/>
        </w:rPr>
      </w:pPr>
      <w:r>
        <w:rPr>
          <w:rFonts w:eastAsia="仿宋_GB2312" w:cs="仿宋_GB2312"/>
          <w:kern w:val="0"/>
          <w:sz w:val="32"/>
          <w:szCs w:val="32"/>
        </w:rPr>
        <w:t>项目实施期限1年。项目年度计划安排如下。</w:t>
      </w:r>
    </w:p>
    <w:p w14:paraId="6E08E762">
      <w:pPr>
        <w:spacing w:line="578" w:lineRule="exact"/>
        <w:ind w:firstLine="640"/>
        <w:rPr>
          <w:rFonts w:eastAsia="仿宋_GB2312" w:cs="仿宋_GB2312"/>
          <w:kern w:val="0"/>
          <w:sz w:val="32"/>
          <w:szCs w:val="32"/>
        </w:rPr>
      </w:pPr>
      <w:r>
        <w:rPr>
          <w:rFonts w:eastAsia="仿宋_GB2312" w:cs="仿宋_GB2312"/>
          <w:kern w:val="0"/>
          <w:sz w:val="32"/>
          <w:szCs w:val="32"/>
        </w:rPr>
        <w:t>2025年1-5月，项目前期准备工作。</w:t>
      </w:r>
    </w:p>
    <w:p w14:paraId="7DEAB334">
      <w:pPr>
        <w:spacing w:line="578" w:lineRule="exact"/>
        <w:ind w:firstLine="640"/>
        <w:rPr>
          <w:rFonts w:eastAsia="仿宋_GB2312" w:cs="仿宋_GB2312"/>
          <w:kern w:val="0"/>
          <w:sz w:val="32"/>
          <w:szCs w:val="32"/>
        </w:rPr>
      </w:pPr>
      <w:r>
        <w:rPr>
          <w:rFonts w:eastAsia="仿宋_GB2312" w:cs="仿宋_GB2312"/>
          <w:kern w:val="0"/>
          <w:sz w:val="32"/>
          <w:szCs w:val="32"/>
        </w:rPr>
        <w:t>2025年6月底，各子课题负责人提交课题实施方案，并启动相关课题实施工作。</w:t>
      </w:r>
    </w:p>
    <w:p w14:paraId="537F4BE3">
      <w:pPr>
        <w:spacing w:line="578" w:lineRule="exact"/>
        <w:ind w:firstLine="640"/>
        <w:rPr>
          <w:rFonts w:eastAsia="仿宋_GB2312" w:cs="仿宋_GB2312"/>
          <w:kern w:val="0"/>
          <w:sz w:val="32"/>
          <w:szCs w:val="32"/>
        </w:rPr>
      </w:pPr>
      <w:r>
        <w:rPr>
          <w:rFonts w:eastAsia="仿宋_GB2312" w:cs="仿宋_GB2312"/>
          <w:kern w:val="0"/>
          <w:sz w:val="32"/>
          <w:szCs w:val="32"/>
        </w:rPr>
        <w:t>2025年11月底，各子课题全面完成实施方案内容，并提交课题总结。</w:t>
      </w:r>
    </w:p>
    <w:p w14:paraId="68FD5568">
      <w:pPr>
        <w:spacing w:line="578" w:lineRule="exact"/>
        <w:ind w:firstLine="640"/>
        <w:rPr>
          <w:rFonts w:eastAsia="仿宋_GB2312" w:cs="仿宋_GB2312"/>
          <w:kern w:val="0"/>
          <w:sz w:val="32"/>
          <w:szCs w:val="32"/>
        </w:rPr>
      </w:pPr>
      <w:r>
        <w:rPr>
          <w:rFonts w:eastAsia="仿宋_GB2312" w:cs="仿宋_GB2312"/>
          <w:kern w:val="0"/>
          <w:sz w:val="32"/>
          <w:szCs w:val="32"/>
        </w:rPr>
        <w:t>2025年12月底，全面汇总相关材料，形成项目验收报告。</w:t>
      </w:r>
    </w:p>
    <w:p w14:paraId="4654BE05">
      <w:pPr>
        <w:pStyle w:val="30"/>
        <w:spacing w:line="578" w:lineRule="exact"/>
        <w:ind w:firstLine="643"/>
        <w:rPr>
          <w:rFonts w:eastAsia="仿宋_GB2312" w:cs="仿宋_GB2312"/>
          <w:b/>
          <w:bCs/>
          <w:kern w:val="0"/>
          <w:sz w:val="32"/>
          <w:szCs w:val="32"/>
        </w:rPr>
      </w:pPr>
      <w:r>
        <w:rPr>
          <w:rFonts w:eastAsia="仿宋_GB2312" w:cs="仿宋_GB2312"/>
          <w:b/>
          <w:bCs/>
          <w:kern w:val="0"/>
          <w:sz w:val="32"/>
          <w:szCs w:val="32"/>
        </w:rPr>
        <w:t>4.分析评价申报内容是否与实际相符，申报目标是否合理可行。</w:t>
      </w:r>
    </w:p>
    <w:p w14:paraId="0C0800A0">
      <w:pPr>
        <w:pStyle w:val="30"/>
        <w:spacing w:line="578" w:lineRule="exact"/>
        <w:ind w:firstLine="640"/>
        <w:rPr>
          <w:rFonts w:eastAsia="仿宋_GB2312" w:cs="仿宋_GB2312"/>
          <w:kern w:val="0"/>
          <w:sz w:val="32"/>
          <w:szCs w:val="32"/>
        </w:rPr>
      </w:pPr>
      <w:r>
        <w:rPr>
          <w:rFonts w:eastAsia="仿宋_GB2312" w:cs="仿宋_GB2312"/>
          <w:kern w:val="0"/>
          <w:sz w:val="32"/>
          <w:szCs w:val="32"/>
        </w:rPr>
        <w:t>项目研究内容紧密结合巩固拓展脱贫攻坚成果与乡村振兴有效衔接，紧扣攀枝花市高质量建设共同富裕试验区的要求，设置种业振兴与特色优势产业培训项目的研究内容，设置的具体考核指标具有可行性和实现的可能性，资金申报符合乡村振兴衔接资金的使用要求，严格按照《攀枝花市财政衔接推进乡村振兴补助管理办法》进行资金预算，无衔接资金不得使用的开支范围。</w:t>
      </w:r>
    </w:p>
    <w:p w14:paraId="5C38F495">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（三）项目自评步骤及方法。</w:t>
      </w:r>
    </w:p>
    <w:p w14:paraId="741247BE">
      <w:pPr>
        <w:spacing w:line="578" w:lineRule="exact"/>
        <w:ind w:firstLine="640"/>
        <w:rPr>
          <w:rFonts w:eastAsia="仿宋_GB2312" w:cs="仿宋_GB2312"/>
          <w:b/>
          <w:bCs/>
          <w:kern w:val="0"/>
          <w:sz w:val="32"/>
          <w:szCs w:val="32"/>
        </w:rPr>
      </w:pPr>
      <w:r>
        <w:rPr>
          <w:rFonts w:eastAsia="仿宋_GB2312" w:cs="仿宋_GB2312"/>
          <w:b/>
          <w:bCs/>
          <w:kern w:val="0"/>
          <w:sz w:val="32"/>
          <w:szCs w:val="32"/>
        </w:rPr>
        <w:t>1.项目绩效自评采用的组织实施步骤</w:t>
      </w:r>
    </w:p>
    <w:p w14:paraId="0BFD3338">
      <w:pPr>
        <w:spacing w:line="578" w:lineRule="exact"/>
        <w:ind w:firstLine="640"/>
        <w:rPr>
          <w:rFonts w:eastAsia="仿宋_GB2312" w:cs="仿宋_GB2312"/>
          <w:kern w:val="0"/>
          <w:sz w:val="32"/>
          <w:szCs w:val="32"/>
        </w:rPr>
      </w:pPr>
      <w:r>
        <w:rPr>
          <w:rFonts w:eastAsia="仿宋_GB2312" w:cs="仿宋_GB2312"/>
          <w:kern w:val="0"/>
          <w:sz w:val="32"/>
          <w:szCs w:val="32"/>
        </w:rPr>
        <w:t>（1）明确自评的目标和范围。主要针对本项目2025年度实施方案的考核目标进行自评。自评范围包括芒果等种业创新研究和林下魔芋等科技成果转化示范基地建设进行全面评价。</w:t>
      </w:r>
    </w:p>
    <w:p w14:paraId="352395D4">
      <w:pPr>
        <w:spacing w:line="578" w:lineRule="exact"/>
        <w:ind w:firstLine="640"/>
        <w:rPr>
          <w:rFonts w:eastAsia="仿宋_GB2312" w:cs="仿宋_GB2312"/>
          <w:kern w:val="0"/>
          <w:sz w:val="32"/>
          <w:szCs w:val="32"/>
        </w:rPr>
      </w:pPr>
      <w:r>
        <w:rPr>
          <w:rFonts w:eastAsia="仿宋_GB2312" w:cs="仿宋_GB2312"/>
          <w:kern w:val="0"/>
          <w:sz w:val="32"/>
          <w:szCs w:val="32"/>
        </w:rPr>
        <w:t>（2）制定评估指标。严格按照项目实施方案的具体考核指标，结合各子课题的目标任务的完成情况进行自评。</w:t>
      </w:r>
    </w:p>
    <w:p w14:paraId="0FB2C5FF">
      <w:pPr>
        <w:spacing w:line="578" w:lineRule="exact"/>
        <w:ind w:firstLine="640"/>
        <w:rPr>
          <w:rFonts w:eastAsia="仿宋_GB2312" w:cs="仿宋_GB2312"/>
          <w:kern w:val="0"/>
          <w:sz w:val="32"/>
          <w:szCs w:val="32"/>
        </w:rPr>
      </w:pPr>
      <w:r>
        <w:rPr>
          <w:rFonts w:eastAsia="仿宋_GB2312" w:cs="仿宋_GB2312"/>
          <w:kern w:val="0"/>
          <w:sz w:val="32"/>
          <w:szCs w:val="32"/>
        </w:rPr>
        <w:t>（3）编写项目自评报告。根据目标任务达成情况、数据分析、经验总结等情况编写自评报告。</w:t>
      </w:r>
    </w:p>
    <w:p w14:paraId="4169A2D6">
      <w:pPr>
        <w:spacing w:line="578" w:lineRule="exact"/>
        <w:ind w:firstLine="640"/>
        <w:rPr>
          <w:rFonts w:eastAsia="仿宋_GB2312" w:cs="仿宋_GB2312"/>
          <w:b/>
          <w:bCs/>
          <w:kern w:val="0"/>
          <w:sz w:val="32"/>
          <w:szCs w:val="32"/>
        </w:rPr>
      </w:pPr>
      <w:r>
        <w:rPr>
          <w:rFonts w:eastAsia="仿宋_GB2312" w:cs="仿宋_GB2312"/>
          <w:b/>
          <w:bCs/>
          <w:kern w:val="0"/>
          <w:sz w:val="32"/>
          <w:szCs w:val="32"/>
        </w:rPr>
        <w:t>2.项目绩效采用的自评方法</w:t>
      </w:r>
    </w:p>
    <w:p w14:paraId="3E2CD192">
      <w:pPr>
        <w:spacing w:line="578" w:lineRule="exact"/>
        <w:ind w:firstLine="640"/>
        <w:rPr>
          <w:rFonts w:eastAsia="仿宋_GB2312" w:cs="仿宋_GB2312"/>
          <w:kern w:val="0"/>
          <w:sz w:val="32"/>
          <w:szCs w:val="32"/>
        </w:rPr>
      </w:pPr>
      <w:r>
        <w:rPr>
          <w:rFonts w:eastAsia="仿宋_GB2312" w:cs="仿宋_GB2312"/>
          <w:kern w:val="0"/>
          <w:sz w:val="32"/>
          <w:szCs w:val="32"/>
        </w:rPr>
        <w:t>采用目标对照法进行项目绩效自评，将项目具体实际完成指标与项目申报指标（时间、成本、质量、数量等指标）进行逐项对比，分析偏差原因。</w:t>
      </w:r>
    </w:p>
    <w:p w14:paraId="1AC5A2B3">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二、项目资金申报及使用情况</w:t>
      </w:r>
    </w:p>
    <w:p w14:paraId="3F39DBC2">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（一）项目资金申报及批复情况。</w:t>
      </w:r>
    </w:p>
    <w:p w14:paraId="694ABC62">
      <w:pPr>
        <w:spacing w:line="578" w:lineRule="exact"/>
        <w:ind w:firstLine="640"/>
        <w:rPr>
          <w:rFonts w:eastAsia="仿宋_GB2312" w:cs="仿宋_GB2312"/>
          <w:kern w:val="0"/>
          <w:sz w:val="32"/>
          <w:szCs w:val="32"/>
        </w:rPr>
      </w:pPr>
      <w:r>
        <w:rPr>
          <w:rFonts w:eastAsia="仿宋_GB2312" w:cs="仿宋_GB2312"/>
          <w:kern w:val="0"/>
          <w:sz w:val="32"/>
          <w:szCs w:val="32"/>
        </w:rPr>
        <w:t>2025年，市财政局、市农业农村局向市农林科学院安排市级衔接推进乡村振兴资金</w:t>
      </w:r>
      <w:r>
        <w:rPr>
          <w:rFonts w:hint="eastAsia" w:eastAsia="仿宋_GB2312" w:cs="仿宋_GB2312"/>
          <w:kern w:val="0"/>
          <w:sz w:val="32"/>
          <w:szCs w:val="32"/>
        </w:rPr>
        <w:t>—</w:t>
      </w:r>
      <w:r>
        <w:rPr>
          <w:rFonts w:eastAsia="仿宋_GB2312" w:cs="仿宋_GB2312"/>
          <w:kern w:val="0"/>
          <w:sz w:val="32"/>
          <w:szCs w:val="32"/>
        </w:rPr>
        <w:t>种业振兴与特色优势产业培育</w:t>
      </w:r>
      <w:r>
        <w:rPr>
          <w:rFonts w:hint="eastAsia" w:eastAsia="仿宋_GB2312" w:cs="仿宋_GB2312"/>
          <w:kern w:val="0"/>
          <w:sz w:val="32"/>
          <w:szCs w:val="32"/>
        </w:rPr>
        <w:t>项目</w:t>
      </w:r>
      <w:r>
        <w:rPr>
          <w:rFonts w:eastAsia="仿宋_GB2312" w:cs="仿宋_GB2312"/>
          <w:kern w:val="0"/>
          <w:sz w:val="32"/>
          <w:szCs w:val="32"/>
        </w:rPr>
        <w:t>，下达资金150万元（攀财资农〔2025〕20号）。市农林科学院严格按照相关部门的管理办法和项目申报指南进行种业振兴与特色优势产业项目的立项与资金申报，符合资金管理办法等相关规定。</w:t>
      </w:r>
    </w:p>
    <w:p w14:paraId="4064AD0C">
      <w:pPr>
        <w:spacing w:line="578" w:lineRule="exact"/>
        <w:ind w:firstLine="640"/>
        <w:rPr>
          <w:rFonts w:eastAsia="仿宋_GB2312" w:cs="仿宋_GB2312"/>
          <w:kern w:val="0"/>
          <w:sz w:val="32"/>
          <w:szCs w:val="32"/>
        </w:rPr>
      </w:pPr>
      <w:r>
        <w:rPr>
          <w:rFonts w:hint="eastAsia" w:eastAsia="仿宋_GB2312" w:cs="仿宋_GB2312"/>
          <w:b/>
          <w:kern w:val="0"/>
          <w:sz w:val="32"/>
          <w:szCs w:val="32"/>
        </w:rPr>
        <w:t>（二）资金计划、到位及使用情况。</w:t>
      </w:r>
    </w:p>
    <w:p w14:paraId="5CF50A42">
      <w:pPr>
        <w:spacing w:line="578" w:lineRule="exact"/>
        <w:ind w:firstLine="640"/>
        <w:rPr>
          <w:rFonts w:eastAsia="仿宋_GB2312" w:cs="仿宋_GB2312"/>
          <w:b/>
          <w:bCs/>
          <w:kern w:val="0"/>
          <w:sz w:val="32"/>
          <w:szCs w:val="32"/>
        </w:rPr>
      </w:pPr>
      <w:r>
        <w:rPr>
          <w:rFonts w:eastAsia="仿宋_GB2312" w:cs="仿宋_GB2312"/>
          <w:b/>
          <w:bCs/>
          <w:kern w:val="0"/>
          <w:sz w:val="32"/>
          <w:szCs w:val="32"/>
        </w:rPr>
        <w:t>1. 资金计划及到位</w:t>
      </w:r>
    </w:p>
    <w:p w14:paraId="1002D004">
      <w:pPr>
        <w:spacing w:line="578" w:lineRule="exact"/>
        <w:ind w:firstLine="640"/>
        <w:rPr>
          <w:rFonts w:eastAsia="仿宋_GB2312" w:cs="仿宋_GB2312"/>
          <w:kern w:val="0"/>
          <w:sz w:val="32"/>
          <w:szCs w:val="32"/>
        </w:rPr>
      </w:pPr>
      <w:r>
        <w:rPr>
          <w:rFonts w:eastAsia="仿宋_GB2312" w:cs="仿宋_GB2312"/>
          <w:kern w:val="0"/>
          <w:sz w:val="32"/>
          <w:szCs w:val="32"/>
        </w:rPr>
        <w:t>计划资金150万元，当年到位资金150万元，项目经费按照相关管理办法，年度经费及时足额到位，到位率100%。项目资金为乡村振兴衔接资金，无自筹资金。</w:t>
      </w:r>
    </w:p>
    <w:p w14:paraId="141A5EA3">
      <w:pPr>
        <w:spacing w:line="578" w:lineRule="exact"/>
        <w:ind w:firstLine="640"/>
        <w:rPr>
          <w:rFonts w:eastAsia="仿宋_GB2312" w:cs="仿宋_GB2312"/>
          <w:b/>
          <w:bCs/>
          <w:kern w:val="0"/>
          <w:sz w:val="32"/>
          <w:szCs w:val="32"/>
        </w:rPr>
      </w:pPr>
      <w:r>
        <w:rPr>
          <w:rFonts w:eastAsia="仿宋_GB2312" w:cs="仿宋_GB2312"/>
          <w:b/>
          <w:bCs/>
          <w:kern w:val="0"/>
          <w:sz w:val="32"/>
          <w:szCs w:val="32"/>
        </w:rPr>
        <w:t>2. 资金使用</w:t>
      </w:r>
    </w:p>
    <w:p w14:paraId="251E5844">
      <w:pPr>
        <w:spacing w:line="578" w:lineRule="exact"/>
        <w:ind w:firstLine="640"/>
        <w:rPr>
          <w:rFonts w:eastAsia="仿宋_GB2312" w:cs="仿宋_GB2312"/>
          <w:kern w:val="0"/>
          <w:sz w:val="32"/>
          <w:szCs w:val="32"/>
        </w:rPr>
      </w:pPr>
      <w:r>
        <w:rPr>
          <w:rFonts w:eastAsia="仿宋_GB2312" w:cs="仿宋_GB2312"/>
          <w:kern w:val="0"/>
          <w:sz w:val="32"/>
          <w:szCs w:val="32"/>
        </w:rPr>
        <w:t>当年到位经费150万元，实际支出150万元，执行率100%。资金支付合规合法，严格按照《攀枝花市财政衔接推进乡村振兴补助资金管理办法》进行，专款专用，资金使用合理规范，资金支付与预算相符。</w:t>
      </w:r>
    </w:p>
    <w:p w14:paraId="5597D4AF">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（三）项目财务管理情况。</w:t>
      </w:r>
    </w:p>
    <w:p w14:paraId="1BE0811F">
      <w:pPr>
        <w:spacing w:line="578" w:lineRule="exact"/>
        <w:ind w:firstLine="640"/>
        <w:rPr>
          <w:rFonts w:eastAsia="仿宋_GB2312" w:cs="仿宋_GB2312"/>
          <w:kern w:val="0"/>
          <w:sz w:val="32"/>
          <w:szCs w:val="32"/>
        </w:rPr>
      </w:pPr>
      <w:r>
        <w:rPr>
          <w:rFonts w:eastAsia="仿宋_GB2312" w:cs="仿宋_GB2312"/>
          <w:kern w:val="0"/>
          <w:sz w:val="32"/>
          <w:szCs w:val="32"/>
        </w:rPr>
        <w:t>项目实施单位财务管理制度健全，严格执行财务管理制度，账务处理及时，会计核算规范。</w:t>
      </w:r>
    </w:p>
    <w:p w14:paraId="4DECBF0A">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三、项目实施及管理情况</w:t>
      </w:r>
    </w:p>
    <w:p w14:paraId="362B0E1D">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（一）项目组织架构及实施流程。</w:t>
      </w:r>
    </w:p>
    <w:p w14:paraId="3C2AE2D4">
      <w:pPr>
        <w:spacing w:line="578" w:lineRule="exact"/>
        <w:ind w:firstLine="640"/>
        <w:rPr>
          <w:rFonts w:eastAsia="仿宋_GB2312" w:cs="仿宋_GB2312"/>
          <w:b/>
          <w:kern w:val="0"/>
          <w:sz w:val="32"/>
          <w:szCs w:val="32"/>
        </w:rPr>
      </w:pPr>
      <w:r>
        <w:rPr>
          <w:rFonts w:eastAsia="仿宋_GB2312" w:cs="仿宋_GB2312"/>
          <w:kern w:val="0"/>
          <w:sz w:val="32"/>
          <w:szCs w:val="32"/>
        </w:rPr>
        <w:t>项目实行项目负责人制，具体实施由各子课题负责人具体组建团队开展相关工作。项目子课题在实施过程中，由分管院长-所在业务研究所进行管理，成果转化示范中心与财务科进行协助，成果转化示范中心、财务科进行监督。</w:t>
      </w:r>
    </w:p>
    <w:p w14:paraId="63149C16">
      <w:pPr>
        <w:pStyle w:val="39"/>
        <w:spacing w:before="0" w:beforeAutospacing="0" w:after="0" w:afterAutospacing="0" w:line="600" w:lineRule="exact"/>
        <w:ind w:firstLine="720"/>
        <w:jc w:val="both"/>
        <w:rPr>
          <w:rFonts w:eastAsia="仿宋_GB2312" w:cs="仿宋_GB2312"/>
          <w:b/>
          <w:sz w:val="32"/>
          <w:szCs w:val="32"/>
        </w:rPr>
      </w:pPr>
      <w:r>
        <w:rPr>
          <w:rFonts w:hint="eastAsia" w:eastAsia="仿宋_GB2312" w:cs="仿宋_GB2312"/>
          <w:b/>
          <w:sz w:val="32"/>
          <w:szCs w:val="32"/>
        </w:rPr>
        <w:t>（二）项目管理情况。</w:t>
      </w:r>
    </w:p>
    <w:p w14:paraId="50F891EC">
      <w:pPr>
        <w:pStyle w:val="39"/>
        <w:spacing w:before="0" w:beforeAutospacing="0" w:after="0" w:afterAutospacing="0" w:line="600" w:lineRule="exact"/>
        <w:ind w:firstLine="720"/>
        <w:jc w:val="both"/>
        <w:rPr>
          <w:rFonts w:eastAsia="仿宋_GB2312" w:cs="仿宋_GB2312"/>
          <w:sz w:val="32"/>
          <w:szCs w:val="32"/>
        </w:rPr>
      </w:pPr>
      <w:r>
        <w:rPr>
          <w:rFonts w:eastAsia="仿宋_GB2312" w:cs="仿宋_GB2312"/>
          <w:sz w:val="32"/>
          <w:szCs w:val="32"/>
        </w:rPr>
        <w:t>本单位采用项目负责人制管理项目，责任主体为项目主持人，项目主持人按项目实施方案的研究内容和任务指标组织各子课题负责人实施。项目研究过程中发生的物资采购按政府采购办法或者按《攀枝花市农林科学研究院非政府采购管理办法》执行，产生的固定资产及时纳入固定资产管理。</w:t>
      </w:r>
    </w:p>
    <w:p w14:paraId="6A940F40">
      <w:pPr>
        <w:spacing w:line="578" w:lineRule="exact"/>
        <w:ind w:firstLine="640"/>
        <w:rPr>
          <w:rFonts w:eastAsia="仿宋_GB2312" w:cs="仿宋_GB2312"/>
          <w:b/>
          <w:kern w:val="0"/>
          <w:sz w:val="32"/>
          <w:szCs w:val="32"/>
        </w:rPr>
      </w:pPr>
      <w:r>
        <w:rPr>
          <w:rFonts w:hint="eastAsia" w:eastAsia="仿宋_GB2312" w:cs="仿宋_GB2312"/>
          <w:b/>
          <w:kern w:val="0"/>
          <w:sz w:val="32"/>
          <w:szCs w:val="32"/>
        </w:rPr>
        <w:t>（三）项目监管情况。</w:t>
      </w:r>
    </w:p>
    <w:p w14:paraId="00B4D78D">
      <w:pPr>
        <w:spacing w:line="578" w:lineRule="exact"/>
        <w:ind w:firstLine="640"/>
        <w:rPr>
          <w:rFonts w:eastAsia="仿宋_GB2312" w:cs="仿宋_GB2312"/>
          <w:kern w:val="0"/>
          <w:sz w:val="32"/>
          <w:szCs w:val="32"/>
        </w:rPr>
      </w:pPr>
      <w:r>
        <w:rPr>
          <w:rFonts w:eastAsia="仿宋_GB2312" w:cs="仿宋_GB2312"/>
          <w:kern w:val="0"/>
          <w:sz w:val="32"/>
          <w:szCs w:val="32"/>
        </w:rPr>
        <w:t>市财政局、市农业农村局通过上报绩效目标执行监控表、现场查看项目实施点位等方式进行项目监管。市农林科学院组织科研抽查组对涉及的2个子课题进行抽查检查；通过有效监督，实现了项目预期完成目标任务。</w:t>
      </w:r>
    </w:p>
    <w:p w14:paraId="4CC21A7B">
      <w:pPr>
        <w:pStyle w:val="39"/>
        <w:spacing w:before="0" w:beforeAutospacing="0" w:after="0" w:afterAutospacing="0" w:line="600" w:lineRule="exact"/>
        <w:ind w:firstLine="720"/>
        <w:jc w:val="both"/>
        <w:rPr>
          <w:rFonts w:eastAsia="仿宋_GB2312" w:cs="仿宋_GB2312"/>
          <w:sz w:val="32"/>
          <w:szCs w:val="32"/>
        </w:rPr>
      </w:pPr>
      <w:r>
        <w:rPr>
          <w:rFonts w:hint="eastAsia" w:ascii="黑体" w:hAnsi="黑体" w:eastAsia="黑体"/>
          <w:color w:val="000000"/>
          <w:sz w:val="32"/>
          <w:szCs w:val="32"/>
        </w:rPr>
        <w:t>四、项目绩效情况</w:t>
      </w:r>
    </w:p>
    <w:p w14:paraId="1F4755F9">
      <w:pPr>
        <w:spacing w:line="578" w:lineRule="exact"/>
        <w:ind w:firstLine="640"/>
        <w:rPr>
          <w:rFonts w:eastAsia="仿宋_GB2312" w:cs="仿宋_GB2312"/>
          <w:b/>
          <w:kern w:val="0"/>
          <w:sz w:val="32"/>
          <w:szCs w:val="32"/>
        </w:rPr>
      </w:pPr>
      <w:r>
        <w:rPr>
          <w:rFonts w:hint="eastAsia" w:eastAsia="仿宋_GB2312" w:cs="仿宋_GB2312"/>
          <w:b/>
          <w:kern w:val="0"/>
          <w:sz w:val="32"/>
          <w:szCs w:val="32"/>
        </w:rPr>
        <w:t>（一）项目完成情况。</w:t>
      </w:r>
    </w:p>
    <w:p w14:paraId="5E425031">
      <w:pPr>
        <w:spacing w:line="578" w:lineRule="exact"/>
        <w:ind w:firstLine="640"/>
        <w:rPr>
          <w:rFonts w:eastAsia="仿宋_GB2312" w:cs="仿宋_GB2312"/>
          <w:kern w:val="0"/>
          <w:sz w:val="32"/>
          <w:szCs w:val="32"/>
        </w:rPr>
      </w:pPr>
      <w:r>
        <w:rPr>
          <w:rFonts w:eastAsia="仿宋_GB2312" w:cs="仿宋_GB2312"/>
          <w:kern w:val="0"/>
          <w:sz w:val="32"/>
          <w:szCs w:val="32"/>
        </w:rPr>
        <w:t>项目各项考核指标全面完成，完成质量较高，注重实效，资金使用在2025年12月31日前全部使用完毕，成本控制在150万元以内，无结余资金。</w:t>
      </w:r>
    </w:p>
    <w:p w14:paraId="48FE2DBE">
      <w:pPr>
        <w:spacing w:line="578" w:lineRule="exact"/>
        <w:ind w:firstLine="640"/>
        <w:rPr>
          <w:rFonts w:eastAsia="仿宋_GB2312" w:cs="仿宋_GB2312"/>
          <w:kern w:val="0"/>
          <w:sz w:val="32"/>
          <w:szCs w:val="32"/>
        </w:rPr>
      </w:pPr>
      <w:r>
        <w:rPr>
          <w:rFonts w:eastAsia="仿宋_GB2312" w:cs="仿宋_GB2312"/>
          <w:kern w:val="0"/>
          <w:sz w:val="32"/>
          <w:szCs w:val="32"/>
        </w:rPr>
        <w:t>1.保存、收集品种（种质）资源323份。其中芒果、石榴种质资源5份、收集大豆种质资源11份，保存大豆资源45份、玉米资源152份、藜麦资源11份，饲草种质资源8份、川续断种质资源20份、樱桃新品种5个、人参果种质资源4份、赤松茸种质资源10份、乡土花卉种植资源52份。</w:t>
      </w:r>
    </w:p>
    <w:p w14:paraId="2E4AEB3E">
      <w:pPr>
        <w:spacing w:line="578" w:lineRule="exact"/>
        <w:ind w:firstLine="640"/>
        <w:rPr>
          <w:rFonts w:eastAsia="仿宋_GB2312" w:cs="仿宋_GB2312"/>
          <w:kern w:val="0"/>
          <w:sz w:val="32"/>
          <w:szCs w:val="32"/>
        </w:rPr>
      </w:pPr>
      <w:r>
        <w:rPr>
          <w:rFonts w:eastAsia="仿宋_GB2312" w:cs="仿宋_GB2312"/>
          <w:kern w:val="0"/>
          <w:sz w:val="32"/>
          <w:szCs w:val="32"/>
        </w:rPr>
        <w:t>2.筛选出适宜品种6个。一是初步筛选出亩产超200kg的中豆57、中黄13、中黄301、油6019 大豆品种；二是筛选出适宜攀枝花推广种植的乡土植物头花蓼和饲草资源矮象草并适当推广种植；三是认定了樱桃“香玉公主”1个；四是申报“龙颜”芒果新品种权1个。</w:t>
      </w:r>
    </w:p>
    <w:p w14:paraId="6691E6FD">
      <w:pPr>
        <w:spacing w:line="578" w:lineRule="exact"/>
        <w:ind w:firstLine="640"/>
        <w:rPr>
          <w:rFonts w:eastAsia="仿宋_GB2312" w:cs="仿宋_GB2312"/>
          <w:kern w:val="0"/>
          <w:sz w:val="32"/>
          <w:szCs w:val="32"/>
        </w:rPr>
      </w:pPr>
      <w:r>
        <w:rPr>
          <w:rFonts w:eastAsia="仿宋_GB2312" w:cs="仿宋_GB2312"/>
          <w:kern w:val="0"/>
          <w:sz w:val="32"/>
          <w:szCs w:val="32"/>
        </w:rPr>
        <w:t>3.完成5个核心示范基地建设，面积309亩。一是在平地镇双龙潭建立“樱桃+人参果”套种核心示范基地1个，面积100亩。二是建立冬春优质赤松茸栽培示范基地1个，总面积39亩，其中官房村13.5亩、啊喇乡大足村9.5亩、布德镇老村子村6亩、大龙潭混撒拉村4亩、大田镇片那里村2亩和得石镇得石村4亩。三是在啊喇乡起查拉村建立“林（樱桃）+魔芋”核心示范基地1个150亩，其中育种基地100亩，商品芋基地50亩；四是在麻陇乡庄房村建立林下川续断核心示范基地20亩。五是建设“放牧+补饲”技术示范基地，示范规模125只，其中盐边温泉乡红骨羊绵羊基地30只，永兴红骨羊山羊基地30只，西区红骨羊山羊30只，大箐沟基地35只。示范基地建设任务指标完成率达到90%以上。</w:t>
      </w:r>
    </w:p>
    <w:p w14:paraId="78465B7D">
      <w:pPr>
        <w:spacing w:line="578" w:lineRule="exact"/>
        <w:ind w:firstLine="640"/>
        <w:rPr>
          <w:rFonts w:eastAsia="仿宋_GB2312" w:cs="仿宋_GB2312"/>
          <w:kern w:val="0"/>
          <w:sz w:val="32"/>
          <w:szCs w:val="32"/>
        </w:rPr>
      </w:pPr>
      <w:r>
        <w:rPr>
          <w:rFonts w:eastAsia="仿宋_GB2312" w:cs="仿宋_GB2312"/>
          <w:kern w:val="0"/>
          <w:sz w:val="32"/>
          <w:szCs w:val="32"/>
        </w:rPr>
        <w:t>4.开展“樱桃+魔芋”、“樱桃+人参果”、赤松茸栽培、块菌种植、红骨羊标准化养殖等技术培训指导117期（次），培训农户2089人次。</w:t>
      </w:r>
    </w:p>
    <w:p w14:paraId="3DFE3560">
      <w:pPr>
        <w:spacing w:line="578" w:lineRule="exact"/>
        <w:ind w:firstLine="640"/>
        <w:rPr>
          <w:rFonts w:eastAsia="仿宋_GB2312" w:cs="仿宋_GB2312"/>
          <w:b/>
          <w:kern w:val="0"/>
          <w:sz w:val="32"/>
          <w:szCs w:val="32"/>
        </w:rPr>
      </w:pPr>
      <w:r>
        <w:rPr>
          <w:rFonts w:hint="eastAsia" w:eastAsia="仿宋_GB2312" w:cs="仿宋_GB2312"/>
          <w:b/>
          <w:kern w:val="0"/>
          <w:sz w:val="32"/>
          <w:szCs w:val="32"/>
        </w:rPr>
        <w:t>（二）项目效益情况。</w:t>
      </w:r>
    </w:p>
    <w:p w14:paraId="77770841">
      <w:pPr>
        <w:spacing w:line="578" w:lineRule="exact"/>
        <w:ind w:firstLine="640"/>
        <w:rPr>
          <w:rFonts w:eastAsia="仿宋_GB2312" w:cs="仿宋_GB2312"/>
          <w:kern w:val="0"/>
          <w:sz w:val="32"/>
          <w:szCs w:val="32"/>
        </w:rPr>
      </w:pPr>
      <w:r>
        <w:rPr>
          <w:rFonts w:eastAsia="仿宋_GB2312" w:cs="仿宋_GB2312"/>
          <w:kern w:val="0"/>
          <w:sz w:val="32"/>
          <w:szCs w:val="32"/>
        </w:rPr>
        <w:t>1. 种业创新取得新突破。一是新品种取得新进展。完成“龙颜”芒果新品种权申报；“攀育5号”芒果通过四川省非农作物品种认定委员会认定；完成樱桃“香玉公主”品种认定。二是筛选出适宜新品种6个。初步筛选出亩产超200kg的中豆57、中黄13、中黄301、油6019的大豆品种；筛选出适宜的乡土植物头花蓼和饲草资源俄罗斯饲料菜。同时验证了芒果叶作为青贮饲料的可行性。三是持续加强新品种推广。在仁和区大龙潭乡混撒拉村、仁和区同德镇、米易县新山乡中山村推广芒果新品种“攀育5号”共计50亩；在沙沟基地芒果林下开展头花蓼抑草种植示范，效果明显；在务本乡、五十一基地示范推广矮象草8亩、鲁梅克斯2亩、苜蓿4亩。</w:t>
      </w:r>
    </w:p>
    <w:p w14:paraId="635FC5E7">
      <w:pPr>
        <w:spacing w:line="578" w:lineRule="exact"/>
        <w:ind w:firstLine="640"/>
        <w:rPr>
          <w:rFonts w:eastAsia="仿宋_GB2312" w:cs="仿宋_GB2312"/>
          <w:kern w:val="0"/>
          <w:sz w:val="32"/>
          <w:szCs w:val="32"/>
        </w:rPr>
      </w:pPr>
      <w:r>
        <w:rPr>
          <w:rFonts w:eastAsia="仿宋_GB2312" w:cs="仿宋_GB2312"/>
          <w:kern w:val="0"/>
          <w:sz w:val="32"/>
          <w:szCs w:val="32"/>
        </w:rPr>
        <w:t>2. 特色优势产业培育初显成效。共建立示范基地309亩。一是在平地镇双龙潭村建立“樱桃+人参果”种植核心示范基地100亩，推广带动平地、大田、啊喇50户农户种植500亩。二是在啊喇乡建立了“樱桃+魔芋”种植核心示范基地150亩，其中育种基地100亩，商品芋基地50亩。辐射带动仁和区1200多亩。三是在啊喇乡官房村、大龙潭混撒拉村、布德镇老村子村等建立冬春优质赤松茸栽培示范基地39亩。四是在麻陇乡庄房村建立川续断核心示范基地20亩，辐射带动150亩。五是在永兴、温泉、西区和大箐沟基地建设“放牧+补饲”技术示范基地，示范红骨羊125只，通过“放牧+补饲”方式，降低红骨羊养殖成本。攀枝花开、这里仁和单位公众号等媒体多次对樱桃林下人参果种植、芒果林下赤松茸种植、林下魔芋种植等方面取得的成效进行了大量的报道，产生了巨大的社会效益。</w:t>
      </w:r>
    </w:p>
    <w:p w14:paraId="6835DFC1">
      <w:pPr>
        <w:spacing w:line="578" w:lineRule="exact"/>
        <w:ind w:firstLine="640"/>
        <w:rPr>
          <w:rFonts w:eastAsia="仿宋_GB2312" w:cs="仿宋_GB2312"/>
          <w:kern w:val="0"/>
          <w:sz w:val="32"/>
          <w:szCs w:val="32"/>
        </w:rPr>
      </w:pPr>
      <w:r>
        <w:rPr>
          <w:rFonts w:eastAsia="仿宋_GB2312" w:cs="仿宋_GB2312"/>
          <w:kern w:val="0"/>
          <w:sz w:val="32"/>
          <w:szCs w:val="32"/>
        </w:rPr>
        <w:t>3. 经济效益提升效果明显。一是“樱桃+人参果”模式助农增收效果突出。17户示范户平均净收入达16125元，亩均增收3300元。二是“樱桃+魔芋”示范户取得大丰收，魔芋亩均测产3</w:t>
      </w:r>
      <w:r>
        <w:rPr>
          <w:rFonts w:hint="eastAsia" w:eastAsia="仿宋_GB2312" w:cs="仿宋_GB2312"/>
          <w:kern w:val="0"/>
          <w:sz w:val="32"/>
          <w:szCs w:val="32"/>
        </w:rPr>
        <w:t>0</w:t>
      </w:r>
      <w:r>
        <w:rPr>
          <w:rFonts w:eastAsia="仿宋_GB2312" w:cs="仿宋_GB2312"/>
          <w:kern w:val="0"/>
          <w:sz w:val="32"/>
          <w:szCs w:val="32"/>
        </w:rPr>
        <w:t>00公斤，按照今年市场价6元/公斤，亩均产值1.8万元左右，亩均增收</w:t>
      </w:r>
      <w:r>
        <w:rPr>
          <w:rFonts w:hint="eastAsia" w:eastAsia="仿宋_GB2312" w:cs="仿宋_GB2312"/>
          <w:kern w:val="0"/>
          <w:sz w:val="32"/>
          <w:szCs w:val="32"/>
        </w:rPr>
        <w:t>3000</w:t>
      </w:r>
      <w:r>
        <w:rPr>
          <w:rFonts w:eastAsia="仿宋_GB2312" w:cs="仿宋_GB2312"/>
          <w:kern w:val="0"/>
          <w:sz w:val="32"/>
          <w:szCs w:val="32"/>
        </w:rPr>
        <w:t>元。三是首次获得“放牧+补饲”应用技术，羊致红率达到100%，同时饲草成本比全补饲降低300元左右，降低农户养殖投入；四是冬春优质赤松茸示范户预计增收明显，截至目前部分农户已采收第一茬菇，亩产达1600斤，产值约8000元，赤松茸还将持续出菇，直至次年2月底采收完成，预测产量每亩在4000斤左右，预计批发价4-5元/斤，</w:t>
      </w:r>
      <w:r>
        <w:rPr>
          <w:rFonts w:hint="eastAsia" w:eastAsia="仿宋_GB2312" w:cs="仿宋_GB2312"/>
          <w:kern w:val="0"/>
          <w:sz w:val="32"/>
          <w:szCs w:val="32"/>
        </w:rPr>
        <w:t>零售价8-10元，预计</w:t>
      </w:r>
      <w:r>
        <w:rPr>
          <w:rFonts w:eastAsia="仿宋_GB2312" w:cs="仿宋_GB2312"/>
          <w:kern w:val="0"/>
          <w:sz w:val="32"/>
          <w:szCs w:val="32"/>
        </w:rPr>
        <w:t>亩产值在1</w:t>
      </w:r>
      <w:r>
        <w:rPr>
          <w:rFonts w:hint="eastAsia" w:eastAsia="仿宋_GB2312" w:cs="仿宋_GB2312"/>
          <w:kern w:val="0"/>
          <w:sz w:val="32"/>
          <w:szCs w:val="32"/>
        </w:rPr>
        <w:t>6</w:t>
      </w:r>
      <w:r>
        <w:rPr>
          <w:rFonts w:eastAsia="仿宋_GB2312" w:cs="仿宋_GB2312"/>
          <w:kern w:val="0"/>
          <w:sz w:val="32"/>
          <w:szCs w:val="32"/>
        </w:rPr>
        <w:t>000元</w:t>
      </w:r>
      <w:r>
        <w:rPr>
          <w:rFonts w:hint="eastAsia" w:eastAsia="仿宋_GB2312" w:cs="仿宋_GB2312"/>
          <w:kern w:val="0"/>
          <w:sz w:val="32"/>
          <w:szCs w:val="32"/>
        </w:rPr>
        <w:t>-20000元</w:t>
      </w:r>
      <w:r>
        <w:rPr>
          <w:rFonts w:eastAsia="仿宋_GB2312" w:cs="仿宋_GB2312"/>
          <w:kern w:val="0"/>
          <w:sz w:val="32"/>
          <w:szCs w:val="32"/>
        </w:rPr>
        <w:t>。五是川续断还在生长期，预计亩产2000kg鲜货，折算干货250kg，按单价10元/kg计算，预测亩产值2500元。</w:t>
      </w:r>
    </w:p>
    <w:p w14:paraId="17599D77">
      <w:pPr>
        <w:spacing w:line="578" w:lineRule="exact"/>
        <w:ind w:firstLine="640"/>
        <w:rPr>
          <w:rFonts w:eastAsia="仿宋_GB2312" w:cs="仿宋_GB2312"/>
          <w:kern w:val="0"/>
          <w:sz w:val="32"/>
          <w:szCs w:val="32"/>
        </w:rPr>
      </w:pPr>
      <w:r>
        <w:rPr>
          <w:rFonts w:eastAsia="仿宋_GB2312" w:cs="仿宋_GB2312"/>
          <w:kern w:val="0"/>
          <w:sz w:val="32"/>
          <w:szCs w:val="32"/>
        </w:rPr>
        <w:t>通过项目的实施，农业种业创新取得的阶段性成效，农业科技成果转化示范引领效果明显，示范带动效应较好，极大地支撑了我市特色农业产业的稳定健康发展，社会效益显著，群众满意度达95%以上。</w:t>
      </w:r>
    </w:p>
    <w:p w14:paraId="10837E7D">
      <w:pPr>
        <w:pStyle w:val="39"/>
        <w:spacing w:before="0" w:beforeAutospacing="0" w:after="0" w:afterAutospacing="0" w:line="600" w:lineRule="exact"/>
        <w:ind w:firstLine="720"/>
        <w:jc w:val="both"/>
        <w:rPr>
          <w:rFonts w:ascii="黑体" w:hAnsi="黑体" w:eastAsia="黑体"/>
          <w:color w:val="000000"/>
          <w:sz w:val="32"/>
          <w:szCs w:val="32"/>
        </w:rPr>
      </w:pPr>
      <w:r>
        <w:rPr>
          <w:rFonts w:hint="eastAsia" w:ascii="黑体" w:hAnsi="黑体" w:eastAsia="黑体"/>
          <w:color w:val="000000"/>
          <w:sz w:val="32"/>
          <w:szCs w:val="32"/>
        </w:rPr>
        <w:t>五、评价结论及建议</w:t>
      </w:r>
    </w:p>
    <w:p w14:paraId="342371A9">
      <w:pPr>
        <w:spacing w:line="578" w:lineRule="exact"/>
        <w:ind w:firstLine="640"/>
        <w:rPr>
          <w:rFonts w:eastAsia="仿宋_GB2312" w:cs="仿宋_GB2312"/>
          <w:b/>
          <w:kern w:val="0"/>
          <w:sz w:val="32"/>
          <w:szCs w:val="32"/>
        </w:rPr>
      </w:pPr>
      <w:r>
        <w:rPr>
          <w:rFonts w:hint="eastAsia" w:eastAsia="仿宋_GB2312" w:cs="仿宋_GB2312"/>
          <w:b/>
          <w:kern w:val="0"/>
          <w:sz w:val="32"/>
          <w:szCs w:val="32"/>
        </w:rPr>
        <w:t>（一）评价结论。</w:t>
      </w:r>
    </w:p>
    <w:p w14:paraId="71BA58C9">
      <w:pPr>
        <w:spacing w:line="578" w:lineRule="exact"/>
        <w:ind w:firstLine="640"/>
        <w:rPr>
          <w:rFonts w:eastAsia="仿宋_GB2312" w:cs="仿宋_GB2312"/>
          <w:kern w:val="0"/>
          <w:sz w:val="32"/>
          <w:szCs w:val="32"/>
        </w:rPr>
      </w:pPr>
      <w:r>
        <w:rPr>
          <w:rFonts w:eastAsia="仿宋_GB2312" w:cs="仿宋_GB2312"/>
          <w:kern w:val="0"/>
          <w:sz w:val="32"/>
          <w:szCs w:val="32"/>
        </w:rPr>
        <w:t>本项目属于巩固脱贫攻坚成果与乡村振兴有效衔接项目，评价重点主要为种业创新研究为农业产业发展储备种业“芯片”以及特色优势产业培育助推农民共同富裕等方面。项目设立程序合法合规，制度完备，项目资金分配合理、使用规范、执行有效，资金到位支付及时，完成年度目标任务，通过项目实施，种业创新取得阶段性成果；通过特色优势产业培育，培养了一批示范户，辐射带动周边农户规范化种植，农户增收效益明显。</w:t>
      </w:r>
    </w:p>
    <w:p w14:paraId="698726D5">
      <w:pPr>
        <w:spacing w:line="578" w:lineRule="exact"/>
        <w:ind w:firstLine="640"/>
        <w:rPr>
          <w:rFonts w:eastAsia="仿宋_GB2312" w:cs="仿宋_GB2312"/>
          <w:b/>
          <w:kern w:val="0"/>
          <w:sz w:val="32"/>
          <w:szCs w:val="32"/>
        </w:rPr>
      </w:pPr>
      <w:r>
        <w:rPr>
          <w:rFonts w:hint="eastAsia" w:eastAsia="仿宋_GB2312" w:cs="仿宋_GB2312"/>
          <w:b/>
          <w:kern w:val="0"/>
          <w:sz w:val="32"/>
          <w:szCs w:val="32"/>
        </w:rPr>
        <w:t>（二）存在的问题。</w:t>
      </w:r>
    </w:p>
    <w:p w14:paraId="22D86399">
      <w:pPr>
        <w:spacing w:line="578" w:lineRule="exact"/>
        <w:ind w:firstLine="640"/>
        <w:rPr>
          <w:rFonts w:eastAsia="仿宋_GB2312" w:cs="仿宋_GB2312"/>
          <w:kern w:val="0"/>
          <w:sz w:val="32"/>
          <w:szCs w:val="32"/>
        </w:rPr>
      </w:pPr>
      <w:r>
        <w:rPr>
          <w:rFonts w:eastAsia="仿宋_GB2312" w:cs="仿宋_GB2312"/>
          <w:kern w:val="0"/>
          <w:sz w:val="32"/>
          <w:szCs w:val="32"/>
        </w:rPr>
        <w:t>1. 项目实施周期过短。农业科研类项目实施周期较长，短期内不太容易出成果，尤其是农业种业创新类项目，形成一个具有自主知识产权的新品种往往需要3-5年或更长时间；另外特色优势产业培育如赤松茸、川续断的采收因季节原因需要持续到次年才能完成。</w:t>
      </w:r>
    </w:p>
    <w:p w14:paraId="64B71232">
      <w:pPr>
        <w:spacing w:line="578" w:lineRule="exact"/>
        <w:ind w:firstLine="640"/>
        <w:rPr>
          <w:rFonts w:eastAsia="仿宋_GB2312" w:cs="仿宋_GB2312"/>
          <w:kern w:val="0"/>
          <w:sz w:val="32"/>
          <w:szCs w:val="32"/>
        </w:rPr>
      </w:pPr>
      <w:r>
        <w:rPr>
          <w:rFonts w:eastAsia="仿宋_GB2312" w:cs="仿宋_GB2312"/>
          <w:kern w:val="0"/>
          <w:sz w:val="32"/>
          <w:szCs w:val="32"/>
        </w:rPr>
        <w:t>2. 后续资金保障需要进一步加强。项目实施以来，种业振兴已形成了初步研究成果，如后续经费得不到保障，可能会导致阶段性研究成果停滞。同时特色优势产业培育也需进一步加强示范带动。</w:t>
      </w:r>
    </w:p>
    <w:p w14:paraId="6EA5885D">
      <w:pPr>
        <w:spacing w:line="578" w:lineRule="exact"/>
        <w:ind w:firstLine="640"/>
        <w:rPr>
          <w:rFonts w:eastAsia="仿宋_GB2312" w:cs="仿宋_GB2312"/>
          <w:kern w:val="0"/>
          <w:sz w:val="32"/>
          <w:szCs w:val="32"/>
        </w:rPr>
      </w:pPr>
      <w:r>
        <w:rPr>
          <w:rFonts w:eastAsia="仿宋_GB2312" w:cs="仿宋_GB2312"/>
          <w:kern w:val="0"/>
          <w:sz w:val="32"/>
          <w:szCs w:val="32"/>
        </w:rPr>
        <w:t>3. 资金的使用存在局限性。资金使用仅局限于劳务费、材料费和少量的专用设备费，无差旅费等支出，导致项目组人员、车辆出行实际产生的费用无法支付。</w:t>
      </w:r>
    </w:p>
    <w:p w14:paraId="3AFA2915">
      <w:pPr>
        <w:spacing w:line="578" w:lineRule="exact"/>
        <w:ind w:firstLine="640"/>
        <w:rPr>
          <w:rFonts w:eastAsia="仿宋_GB2312" w:cs="仿宋_GB2312"/>
          <w:b/>
          <w:kern w:val="0"/>
          <w:sz w:val="32"/>
          <w:szCs w:val="32"/>
        </w:rPr>
      </w:pPr>
      <w:r>
        <w:rPr>
          <w:rFonts w:hint="eastAsia" w:eastAsia="仿宋_GB2312" w:cs="仿宋_GB2312"/>
          <w:b/>
          <w:kern w:val="0"/>
          <w:sz w:val="32"/>
          <w:szCs w:val="32"/>
        </w:rPr>
        <w:t>（三）相关建议。</w:t>
      </w:r>
    </w:p>
    <w:p w14:paraId="347DBF04">
      <w:pPr>
        <w:spacing w:line="578" w:lineRule="exact"/>
        <w:ind w:firstLine="640"/>
        <w:rPr>
          <w:rFonts w:eastAsia="仿宋_GB2312" w:cs="仿宋_GB2312"/>
          <w:kern w:val="0"/>
          <w:sz w:val="32"/>
          <w:szCs w:val="32"/>
        </w:rPr>
      </w:pPr>
      <w:r>
        <w:rPr>
          <w:rFonts w:eastAsia="仿宋_GB2312" w:cs="仿宋_GB2312"/>
          <w:kern w:val="0"/>
          <w:sz w:val="32"/>
          <w:szCs w:val="32"/>
        </w:rPr>
        <w:t>1. 持续开展晚熟芒果、粮食作物、乡土花卉等种业创新，在现有的工作基础上，多渠道收集种质资源，开展种质资源评价与创新利用。加强育种攻关，尽快选育出一批优良的新品种，为我市农业主导产业发展提供“芯片”支撑。</w:t>
      </w:r>
    </w:p>
    <w:p w14:paraId="4223C7EE">
      <w:pPr>
        <w:spacing w:line="578" w:lineRule="exact"/>
        <w:ind w:firstLine="640"/>
        <w:rPr>
          <w:rFonts w:eastAsia="仿宋_GB2312" w:cs="仿宋_GB2312"/>
          <w:kern w:val="0"/>
          <w:sz w:val="32"/>
          <w:szCs w:val="32"/>
        </w:rPr>
      </w:pPr>
      <w:r>
        <w:rPr>
          <w:rFonts w:eastAsia="仿宋_GB2312" w:cs="仿宋_GB2312"/>
          <w:kern w:val="0"/>
          <w:sz w:val="32"/>
          <w:szCs w:val="32"/>
        </w:rPr>
        <w:t>2. 持续加大成果转化示范推广。积极整合单位研发的科技成果，进一步加强技术成熟、示范带动效应好的科技成果的转化力度，通过建基地、做培训，示范带动周边农户规模化种植，助推攀枝花共同富裕试验区农业共富单元建设。</w:t>
      </w:r>
    </w:p>
    <w:p w14:paraId="52737E53">
      <w:pPr>
        <w:spacing w:line="578" w:lineRule="exact"/>
        <w:ind w:firstLine="640"/>
        <w:rPr>
          <w:rFonts w:eastAsia="仿宋_GB2312" w:cs="仿宋_GB2312"/>
          <w:kern w:val="0"/>
          <w:sz w:val="32"/>
          <w:szCs w:val="32"/>
        </w:rPr>
      </w:pPr>
      <w:r>
        <w:rPr>
          <w:rFonts w:eastAsia="仿宋_GB2312" w:cs="仿宋_GB2312"/>
          <w:kern w:val="0"/>
          <w:sz w:val="32"/>
          <w:szCs w:val="32"/>
        </w:rPr>
        <w:t>3. 建议项目资金配套工作经费。项目实施所需的差旅费等费用在衔接资金中不可使用，我院属于公益一类事业单位，考虑单位公用经费不足的实际问题，建议市财政配套相应的项目工作经费，解决科技人员下乡及车辆出行产生的实际费用。</w:t>
      </w:r>
    </w:p>
    <w:p w14:paraId="38AFB881">
      <w:pPr>
        <w:spacing w:line="578" w:lineRule="exact"/>
        <w:rPr>
          <w:rFonts w:eastAsia="仿宋_GB2312" w:cs="仿宋_GB2312"/>
          <w:kern w:val="0"/>
          <w:sz w:val="32"/>
          <w:szCs w:val="32"/>
        </w:rPr>
      </w:pPr>
    </w:p>
    <w:p w14:paraId="7BD8B854">
      <w:pPr>
        <w:spacing w:line="578" w:lineRule="exact"/>
        <w:ind w:firstLine="640"/>
        <w:rPr>
          <w:rFonts w:eastAsia="仿宋_GB2312" w:cs="仿宋_GB2312"/>
          <w:kern w:val="0"/>
          <w:sz w:val="32"/>
          <w:szCs w:val="32"/>
        </w:rPr>
      </w:pPr>
      <w:bookmarkStart w:id="85" w:name="_Toc15396618"/>
      <w:r>
        <w:rPr>
          <w:rFonts w:hint="eastAsia" w:eastAsia="仿宋_GB2312" w:cs="仿宋_GB2312"/>
          <w:kern w:val="0"/>
          <w:sz w:val="32"/>
          <w:szCs w:val="32"/>
        </w:rPr>
        <w:br w:type="page"/>
      </w:r>
    </w:p>
    <w:p w14:paraId="5B8593CC">
      <w:pPr>
        <w:pStyle w:val="5"/>
        <w:jc w:val="center"/>
        <w:rPr>
          <w:rFonts w:eastAsia="方正小标宋简体" w:cs="方正小标宋简体"/>
          <w:bCs w:val="0"/>
        </w:rPr>
      </w:pPr>
      <w:bookmarkStart w:id="86" w:name="_Toc239752589"/>
      <w:r>
        <w:rPr>
          <w:rFonts w:hint="eastAsia" w:eastAsia="方正小标宋简体" w:cs="方正小标宋简体"/>
          <w:b w:val="0"/>
        </w:rPr>
        <w:t>第</w:t>
      </w:r>
      <w:r>
        <w:rPr>
          <w:rFonts w:hint="eastAsia" w:eastAsia="方正小标宋简体" w:cs="方正小标宋简体"/>
          <w:bCs w:val="0"/>
        </w:rPr>
        <w:t xml:space="preserve">五部分 </w:t>
      </w:r>
      <w:r>
        <w:rPr>
          <w:rFonts w:eastAsia="方正小标宋简体" w:cs="方正小标宋简体"/>
          <w:bCs w:val="0"/>
        </w:rPr>
        <w:t xml:space="preserve"> </w:t>
      </w:r>
      <w:r>
        <w:rPr>
          <w:rFonts w:hint="eastAsia" w:eastAsia="方正小标宋简体" w:cs="方正小标宋简体"/>
          <w:bCs w:val="0"/>
        </w:rPr>
        <w:t>附表</w:t>
      </w:r>
      <w:bookmarkEnd w:id="75"/>
      <w:bookmarkEnd w:id="85"/>
      <w:bookmarkEnd w:id="86"/>
      <w:bookmarkStart w:id="87" w:name="_Toc15396619"/>
    </w:p>
    <w:p w14:paraId="1716C9E7">
      <w:pPr>
        <w:pStyle w:val="5"/>
        <w:rPr>
          <w:rFonts w:eastAsia="仿宋_GB2312" w:cs="仿宋_GB2312"/>
          <w:bCs w:val="0"/>
          <w:kern w:val="0"/>
          <w:sz w:val="32"/>
          <w:szCs w:val="32"/>
        </w:rPr>
      </w:pPr>
      <w:bookmarkStart w:id="88" w:name="_Toc239752590"/>
      <w:r>
        <w:rPr>
          <w:rFonts w:hint="eastAsia" w:eastAsia="仿宋_GB2312" w:cs="仿宋_GB2312"/>
          <w:bCs w:val="0"/>
          <w:kern w:val="0"/>
          <w:sz w:val="32"/>
          <w:szCs w:val="32"/>
        </w:rPr>
        <w:t>一、收入支出决算总表</w:t>
      </w:r>
      <w:bookmarkEnd w:id="87"/>
      <w:bookmarkEnd w:id="88"/>
    </w:p>
    <w:p w14:paraId="2B78CD02">
      <w:pPr>
        <w:pStyle w:val="6"/>
        <w:rPr>
          <w:rFonts w:ascii="Times New Roman" w:hAnsi="Times New Roman" w:eastAsia="仿宋_GB2312" w:cs="仿宋_GB2312"/>
          <w:bCs w:val="0"/>
          <w:kern w:val="0"/>
        </w:rPr>
      </w:pPr>
      <w:bookmarkStart w:id="89" w:name="_Toc15396620"/>
      <w:bookmarkStart w:id="90" w:name="_Toc239752591"/>
      <w:r>
        <w:rPr>
          <w:rFonts w:hint="eastAsia" w:ascii="Times New Roman" w:hAnsi="Times New Roman" w:eastAsia="仿宋_GB2312" w:cs="仿宋_GB2312"/>
          <w:bCs w:val="0"/>
          <w:kern w:val="0"/>
        </w:rPr>
        <w:t>二、收入决算表</w:t>
      </w:r>
      <w:bookmarkEnd w:id="89"/>
      <w:bookmarkEnd w:id="90"/>
    </w:p>
    <w:p w14:paraId="516080D9">
      <w:pPr>
        <w:pStyle w:val="6"/>
        <w:rPr>
          <w:rFonts w:ascii="Times New Roman" w:hAnsi="Times New Roman" w:eastAsia="仿宋_GB2312" w:cs="仿宋_GB2312"/>
          <w:bCs w:val="0"/>
          <w:kern w:val="0"/>
        </w:rPr>
      </w:pPr>
      <w:bookmarkStart w:id="91" w:name="_Toc239752592"/>
      <w:bookmarkStart w:id="92" w:name="_Toc15396621"/>
      <w:r>
        <w:rPr>
          <w:rFonts w:hint="eastAsia" w:ascii="Times New Roman" w:hAnsi="Times New Roman" w:eastAsia="仿宋_GB2312" w:cs="仿宋_GB2312"/>
          <w:bCs w:val="0"/>
          <w:kern w:val="0"/>
        </w:rPr>
        <w:t>三、支出决算表</w:t>
      </w:r>
      <w:bookmarkEnd w:id="91"/>
      <w:bookmarkEnd w:id="92"/>
    </w:p>
    <w:p w14:paraId="11C951AD">
      <w:pPr>
        <w:pStyle w:val="6"/>
        <w:rPr>
          <w:rFonts w:ascii="Times New Roman" w:hAnsi="Times New Roman" w:eastAsia="仿宋_GB2312" w:cs="仿宋_GB2312"/>
          <w:bCs w:val="0"/>
          <w:kern w:val="0"/>
        </w:rPr>
      </w:pPr>
      <w:bookmarkStart w:id="93" w:name="_Toc15396622"/>
      <w:bookmarkStart w:id="94" w:name="_Toc239752593"/>
      <w:r>
        <w:rPr>
          <w:rFonts w:hint="eastAsia" w:ascii="Times New Roman" w:hAnsi="Times New Roman" w:eastAsia="仿宋_GB2312" w:cs="仿宋_GB2312"/>
          <w:bCs w:val="0"/>
          <w:kern w:val="0"/>
        </w:rPr>
        <w:t>四、财政拨款收入支出决算总表</w:t>
      </w:r>
      <w:bookmarkEnd w:id="93"/>
      <w:bookmarkEnd w:id="94"/>
    </w:p>
    <w:p w14:paraId="17744F79">
      <w:pPr>
        <w:pStyle w:val="6"/>
        <w:rPr>
          <w:rFonts w:ascii="Times New Roman" w:hAnsi="Times New Roman" w:eastAsia="仿宋_GB2312" w:cs="仿宋_GB2312"/>
          <w:bCs w:val="0"/>
          <w:kern w:val="0"/>
        </w:rPr>
      </w:pPr>
      <w:bookmarkStart w:id="95" w:name="_Toc239752594"/>
      <w:bookmarkStart w:id="96" w:name="_Toc15396623"/>
      <w:r>
        <w:rPr>
          <w:rFonts w:hint="eastAsia" w:ascii="Times New Roman" w:hAnsi="Times New Roman" w:eastAsia="仿宋_GB2312" w:cs="仿宋_GB2312"/>
          <w:bCs w:val="0"/>
          <w:kern w:val="0"/>
        </w:rPr>
        <w:t>五、财政拨款支出决算明细表</w:t>
      </w:r>
      <w:bookmarkEnd w:id="95"/>
      <w:bookmarkEnd w:id="96"/>
      <w:bookmarkStart w:id="97" w:name="_Toc15396624"/>
    </w:p>
    <w:p w14:paraId="4BD30B59">
      <w:pPr>
        <w:pStyle w:val="6"/>
        <w:rPr>
          <w:rFonts w:ascii="Times New Roman" w:hAnsi="Times New Roman" w:eastAsia="仿宋_GB2312" w:cs="仿宋_GB2312"/>
          <w:bCs w:val="0"/>
          <w:kern w:val="0"/>
        </w:rPr>
      </w:pPr>
      <w:bookmarkStart w:id="98" w:name="_Toc239752595"/>
      <w:r>
        <w:rPr>
          <w:rFonts w:hint="eastAsia" w:ascii="Times New Roman" w:hAnsi="Times New Roman" w:eastAsia="仿宋_GB2312" w:cs="仿宋_GB2312"/>
          <w:bCs w:val="0"/>
          <w:kern w:val="0"/>
        </w:rPr>
        <w:t>六、一般公共预算财政拨款支出决算表</w:t>
      </w:r>
      <w:bookmarkEnd w:id="97"/>
      <w:bookmarkEnd w:id="98"/>
    </w:p>
    <w:p w14:paraId="641D2B85">
      <w:pPr>
        <w:pStyle w:val="6"/>
        <w:rPr>
          <w:rFonts w:ascii="Times New Roman" w:hAnsi="Times New Roman" w:eastAsia="仿宋_GB2312" w:cs="仿宋_GB2312"/>
          <w:bCs w:val="0"/>
          <w:kern w:val="0"/>
        </w:rPr>
      </w:pPr>
      <w:bookmarkStart w:id="99" w:name="_Toc15396625"/>
      <w:bookmarkStart w:id="100" w:name="_Toc239752596"/>
      <w:r>
        <w:rPr>
          <w:rFonts w:hint="eastAsia" w:ascii="Times New Roman" w:hAnsi="Times New Roman" w:eastAsia="仿宋_GB2312" w:cs="仿宋_GB2312"/>
          <w:bCs w:val="0"/>
          <w:kern w:val="0"/>
        </w:rPr>
        <w:t>七、一般公共预算财政拨款支出决算明细表</w:t>
      </w:r>
      <w:bookmarkEnd w:id="99"/>
      <w:bookmarkEnd w:id="100"/>
    </w:p>
    <w:p w14:paraId="40FE7125">
      <w:pPr>
        <w:pStyle w:val="6"/>
        <w:rPr>
          <w:rFonts w:ascii="Times New Roman" w:hAnsi="Times New Roman" w:eastAsia="仿宋_GB2312" w:cs="仿宋_GB2312"/>
          <w:bCs w:val="0"/>
          <w:kern w:val="0"/>
        </w:rPr>
      </w:pPr>
      <w:bookmarkStart w:id="101" w:name="_Toc15396626"/>
      <w:bookmarkStart w:id="102" w:name="_Toc239752597"/>
      <w:r>
        <w:rPr>
          <w:rFonts w:hint="eastAsia" w:ascii="Times New Roman" w:hAnsi="Times New Roman" w:eastAsia="仿宋_GB2312" w:cs="仿宋_GB2312"/>
          <w:bCs w:val="0"/>
          <w:kern w:val="0"/>
        </w:rPr>
        <w:t>八、一般公共预算财政拨款基本支出决算表</w:t>
      </w:r>
      <w:bookmarkEnd w:id="101"/>
      <w:bookmarkEnd w:id="102"/>
    </w:p>
    <w:p w14:paraId="756BB9F5">
      <w:pPr>
        <w:pStyle w:val="6"/>
        <w:rPr>
          <w:rFonts w:ascii="Times New Roman" w:hAnsi="Times New Roman" w:eastAsia="仿宋_GB2312" w:cs="仿宋_GB2312"/>
          <w:bCs w:val="0"/>
          <w:kern w:val="0"/>
        </w:rPr>
      </w:pPr>
      <w:bookmarkStart w:id="103" w:name="_Toc15396627"/>
      <w:bookmarkStart w:id="104" w:name="_Toc239752598"/>
      <w:r>
        <w:rPr>
          <w:rFonts w:hint="eastAsia" w:ascii="Times New Roman" w:hAnsi="Times New Roman" w:eastAsia="仿宋_GB2312" w:cs="仿宋_GB2312"/>
          <w:bCs w:val="0"/>
          <w:kern w:val="0"/>
        </w:rPr>
        <w:t>九、一般公共预算财政拨款项目支出决算表</w:t>
      </w:r>
      <w:bookmarkEnd w:id="103"/>
      <w:bookmarkEnd w:id="104"/>
    </w:p>
    <w:p w14:paraId="2CC1E8EF">
      <w:pPr>
        <w:pStyle w:val="6"/>
        <w:rPr>
          <w:rFonts w:ascii="Times New Roman" w:hAnsi="Times New Roman" w:eastAsia="仿宋_GB2312" w:cs="仿宋_GB2312"/>
          <w:bCs w:val="0"/>
          <w:kern w:val="0"/>
        </w:rPr>
      </w:pPr>
      <w:bookmarkStart w:id="105" w:name="_Toc15396628"/>
      <w:bookmarkStart w:id="106" w:name="_Toc239752599"/>
      <w:r>
        <w:rPr>
          <w:rFonts w:hint="eastAsia" w:ascii="Times New Roman" w:hAnsi="Times New Roman" w:eastAsia="仿宋_GB2312" w:cs="仿宋_GB2312"/>
          <w:bCs w:val="0"/>
          <w:kern w:val="0"/>
        </w:rPr>
        <w:t>十、</w:t>
      </w:r>
      <w:bookmarkEnd w:id="105"/>
      <w:r>
        <w:rPr>
          <w:rFonts w:hint="eastAsia" w:ascii="Times New Roman" w:hAnsi="Times New Roman" w:eastAsia="仿宋_GB2312" w:cs="仿宋_GB2312"/>
          <w:bCs w:val="0"/>
          <w:kern w:val="0"/>
        </w:rPr>
        <w:t>政府性基金预算财政拨款收入支出决算表</w:t>
      </w:r>
      <w:bookmarkEnd w:id="106"/>
    </w:p>
    <w:p w14:paraId="71119DD3">
      <w:pPr>
        <w:pStyle w:val="6"/>
        <w:rPr>
          <w:rFonts w:ascii="Times New Roman" w:hAnsi="Times New Roman" w:eastAsia="仿宋_GB2312" w:cs="仿宋_GB2312"/>
          <w:bCs w:val="0"/>
          <w:kern w:val="0"/>
        </w:rPr>
      </w:pPr>
      <w:bookmarkStart w:id="107" w:name="_Toc15396629"/>
      <w:bookmarkStart w:id="108" w:name="_Toc239752600"/>
      <w:r>
        <w:rPr>
          <w:rFonts w:hint="eastAsia" w:ascii="Times New Roman" w:hAnsi="Times New Roman" w:eastAsia="仿宋_GB2312" w:cs="仿宋_GB2312"/>
          <w:bCs w:val="0"/>
          <w:kern w:val="0"/>
        </w:rPr>
        <w:t>十一、</w:t>
      </w:r>
      <w:bookmarkEnd w:id="107"/>
      <w:r>
        <w:rPr>
          <w:rFonts w:hint="eastAsia" w:ascii="Times New Roman" w:hAnsi="Times New Roman" w:eastAsia="仿宋_GB2312" w:cs="仿宋_GB2312"/>
          <w:bCs w:val="0"/>
          <w:kern w:val="0"/>
        </w:rPr>
        <w:t>国有资本经营预算财政拨款收入支出决算表</w:t>
      </w:r>
      <w:bookmarkEnd w:id="108"/>
    </w:p>
    <w:p w14:paraId="49B9477C">
      <w:pPr>
        <w:pStyle w:val="6"/>
        <w:rPr>
          <w:rFonts w:ascii="Times New Roman" w:hAnsi="Times New Roman" w:eastAsia="仿宋_GB2312" w:cs="仿宋_GB2312"/>
          <w:bCs w:val="0"/>
          <w:kern w:val="0"/>
        </w:rPr>
      </w:pPr>
      <w:bookmarkStart w:id="109" w:name="_Toc15396630"/>
      <w:bookmarkStart w:id="110" w:name="_Toc239752601"/>
      <w:r>
        <w:rPr>
          <w:rFonts w:hint="eastAsia" w:ascii="Times New Roman" w:hAnsi="Times New Roman" w:eastAsia="仿宋_GB2312" w:cs="仿宋_GB2312"/>
          <w:bCs w:val="0"/>
          <w:kern w:val="0"/>
        </w:rPr>
        <w:t>十二、</w:t>
      </w:r>
      <w:bookmarkEnd w:id="109"/>
      <w:r>
        <w:rPr>
          <w:rFonts w:hint="eastAsia" w:ascii="Times New Roman" w:hAnsi="Times New Roman" w:eastAsia="仿宋_GB2312" w:cs="仿宋_GB2312"/>
          <w:bCs w:val="0"/>
          <w:kern w:val="0"/>
        </w:rPr>
        <w:t>国有资本经营预算财政拨款支出决算表</w:t>
      </w:r>
      <w:bookmarkEnd w:id="110"/>
    </w:p>
    <w:p w14:paraId="0851C478">
      <w:pPr>
        <w:pStyle w:val="6"/>
        <w:rPr>
          <w:rFonts w:ascii="Times New Roman" w:hAnsi="Times New Roman" w:eastAsia="仿宋_GB2312" w:cs="仿宋_GB2312"/>
          <w:bCs w:val="0"/>
          <w:kern w:val="0"/>
        </w:rPr>
      </w:pPr>
      <w:bookmarkStart w:id="111" w:name="_Toc15396631"/>
      <w:bookmarkStart w:id="112" w:name="_Toc239752602"/>
      <w:r>
        <w:rPr>
          <w:rFonts w:hint="eastAsia" w:ascii="Times New Roman" w:hAnsi="Times New Roman" w:eastAsia="仿宋_GB2312" w:cs="仿宋_GB2312"/>
          <w:bCs w:val="0"/>
          <w:kern w:val="0"/>
        </w:rPr>
        <w:t>十三、</w:t>
      </w:r>
      <w:bookmarkEnd w:id="111"/>
      <w:r>
        <w:rPr>
          <w:rFonts w:hint="eastAsia" w:ascii="Times New Roman" w:hAnsi="Times New Roman" w:eastAsia="仿宋_GB2312" w:cs="仿宋_GB2312"/>
          <w:bCs w:val="0"/>
          <w:kern w:val="0"/>
        </w:rPr>
        <w:t>财政拨款“三公”经费支出决算表</w:t>
      </w:r>
      <w:bookmarkEnd w:id="112"/>
    </w:p>
    <w:sectPr>
      <w:footerReference r:id="rId4" w:type="default"/>
      <w:pgSz w:w="11906" w:h="16838"/>
      <w:pgMar w:top="2098" w:right="1474" w:bottom="1985" w:left="1588" w:header="907" w:footer="164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原版宋体">
    <w:altName w:val="宋体"/>
    <w:panose1 w:val="02010600030101010101"/>
    <w:charset w:val="86"/>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script"/>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79B4">
    <w:pPr>
      <w:pStyle w:val="14"/>
    </w:pPr>
    <w:r>
      <w:pict>
        <v:shape id="文本框 6"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3CD06D7">
                <w:pPr>
                  <w:pStyle w:val="14"/>
                </w:pPr>
                <w:r>
                  <w:fldChar w:fldCharType="begin"/>
                </w:r>
                <w:r>
                  <w:instrText xml:space="preserve"> PAGE  \* MERGEFORMAT </w:instrText>
                </w:r>
                <w:r>
                  <w:fldChar w:fldCharType="separate"/>
                </w:r>
                <w:r>
                  <w:rPr>
                    <w:rFonts w:hint="eastAsia"/>
                  </w:rP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7809">
    <w:pPr>
      <w:pStyle w:val="14"/>
      <w:jc w:val="center"/>
    </w:pPr>
    <w:r>
      <w:fldChar w:fldCharType="begin"/>
    </w:r>
    <w:r>
      <w:instrText xml:space="preserve">PAGE   \* MERGEFORMAT</w:instrText>
    </w:r>
    <w:r>
      <w:fldChar w:fldCharType="separate"/>
    </w:r>
    <w:r>
      <w:rPr>
        <w:lang w:val="zh-CN"/>
      </w:rPr>
      <w:t>1</w:t>
    </w:r>
    <w:r>
      <w:fldChar w:fldCharType="end"/>
    </w:r>
  </w:p>
  <w:p w14:paraId="62BEAD19">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FC1D6"/>
    <w:multiLevelType w:val="singleLevel"/>
    <w:tmpl w:val="9DFFC1D6"/>
    <w:lvl w:ilvl="0" w:tentative="0">
      <w:start w:val="2"/>
      <w:numFmt w:val="chineseCounting"/>
      <w:suff w:val="nothing"/>
      <w:lvlText w:val="（%1）"/>
      <w:lvlJc w:val="left"/>
      <w:pPr>
        <w:ind w:left="142" w:firstLine="0"/>
      </w:pPr>
      <w:rPr>
        <w:rFonts w:hint="eastAsia"/>
      </w:rPr>
    </w:lvl>
  </w:abstractNum>
  <w:abstractNum w:abstractNumId="1">
    <w:nsid w:val="CBFC4BAB"/>
    <w:multiLevelType w:val="singleLevel"/>
    <w:tmpl w:val="CBFC4BAB"/>
    <w:lvl w:ilvl="0" w:tentative="0">
      <w:start w:val="1"/>
      <w:numFmt w:val="chineseCounting"/>
      <w:suff w:val="nothing"/>
      <w:lvlText w:val="%1、"/>
      <w:lvlJc w:val="left"/>
      <w:rPr>
        <w:rFonts w:hint="eastAsia"/>
      </w:rPr>
    </w:lvl>
  </w:abstractNum>
  <w:abstractNum w:abstractNumId="2">
    <w:nsid w:val="FEA1735B"/>
    <w:multiLevelType w:val="singleLevel"/>
    <w:tmpl w:val="FEA1735B"/>
    <w:lvl w:ilvl="0" w:tentative="0">
      <w:start w:val="1"/>
      <w:numFmt w:val="chineseCounting"/>
      <w:suff w:val="nothing"/>
      <w:lvlText w:val="（%1）"/>
      <w:lvlJc w:val="left"/>
      <w:pPr>
        <w:ind w:left="0" w:firstLine="0"/>
      </w:pPr>
      <w:rPr>
        <w:rFonts w:hint="eastAsia"/>
      </w:rPr>
    </w:lvl>
  </w:abstractNum>
  <w:abstractNum w:abstractNumId="3">
    <w:nsid w:val="24131E45"/>
    <w:multiLevelType w:val="multilevel"/>
    <w:tmpl w:val="24131E45"/>
    <w:lvl w:ilvl="0" w:tentative="0">
      <w:start w:val="1"/>
      <w:numFmt w:val="decimal"/>
      <w:lvlText w:val="%1."/>
      <w:lvlJc w:val="left"/>
      <w:pPr>
        <w:ind w:left="960" w:hanging="240"/>
      </w:pPr>
      <w:rPr>
        <w:rFonts w:hint="default"/>
      </w:rPr>
    </w:lvl>
    <w:lvl w:ilvl="1" w:tentative="0">
      <w:start w:val="1"/>
      <w:numFmt w:val="lowerLetter"/>
      <w:lvlText w:val="%2)"/>
      <w:lvlJc w:val="left"/>
      <w:pPr>
        <w:ind w:left="1600" w:hanging="440"/>
      </w:pPr>
    </w:lvl>
    <w:lvl w:ilvl="2" w:tentative="0">
      <w:start w:val="1"/>
      <w:numFmt w:val="lowerRoman"/>
      <w:lvlText w:val="%3."/>
      <w:lvlJc w:val="right"/>
      <w:pPr>
        <w:ind w:left="2040" w:hanging="440"/>
      </w:pPr>
    </w:lvl>
    <w:lvl w:ilvl="3" w:tentative="0">
      <w:start w:val="1"/>
      <w:numFmt w:val="decimal"/>
      <w:lvlText w:val="%4."/>
      <w:lvlJc w:val="left"/>
      <w:pPr>
        <w:ind w:left="2480" w:hanging="440"/>
      </w:pPr>
    </w:lvl>
    <w:lvl w:ilvl="4" w:tentative="0">
      <w:start w:val="1"/>
      <w:numFmt w:val="lowerLetter"/>
      <w:lvlText w:val="%5)"/>
      <w:lvlJc w:val="left"/>
      <w:pPr>
        <w:ind w:left="2920" w:hanging="440"/>
      </w:pPr>
    </w:lvl>
    <w:lvl w:ilvl="5" w:tentative="0">
      <w:start w:val="1"/>
      <w:numFmt w:val="lowerRoman"/>
      <w:lvlText w:val="%6."/>
      <w:lvlJc w:val="right"/>
      <w:pPr>
        <w:ind w:left="3360" w:hanging="440"/>
      </w:pPr>
    </w:lvl>
    <w:lvl w:ilvl="6" w:tentative="0">
      <w:start w:val="1"/>
      <w:numFmt w:val="decimal"/>
      <w:lvlText w:val="%7."/>
      <w:lvlJc w:val="left"/>
      <w:pPr>
        <w:ind w:left="3800" w:hanging="440"/>
      </w:pPr>
    </w:lvl>
    <w:lvl w:ilvl="7" w:tentative="0">
      <w:start w:val="1"/>
      <w:numFmt w:val="lowerLetter"/>
      <w:lvlText w:val="%8)"/>
      <w:lvlJc w:val="left"/>
      <w:pPr>
        <w:ind w:left="4240" w:hanging="440"/>
      </w:pPr>
    </w:lvl>
    <w:lvl w:ilvl="8" w:tentative="0">
      <w:start w:val="1"/>
      <w:numFmt w:val="lowerRoman"/>
      <w:lvlText w:val="%9."/>
      <w:lvlJc w:val="right"/>
      <w:pPr>
        <w:ind w:left="4680" w:hanging="440"/>
      </w:pPr>
    </w:lvl>
  </w:abstractNum>
  <w:abstractNum w:abstractNumId="4">
    <w:nsid w:val="2FEE735F"/>
    <w:multiLevelType w:val="singleLevel"/>
    <w:tmpl w:val="2FEE735F"/>
    <w:lvl w:ilvl="0" w:tentative="0">
      <w:start w:val="2"/>
      <w:numFmt w:val="chineseCounting"/>
      <w:suff w:val="nothing"/>
      <w:lvlText w:val="（%1）"/>
      <w:lvlJc w:val="left"/>
      <w:pPr>
        <w:ind w:left="0" w:firstLine="0"/>
      </w:pPr>
      <w:rPr>
        <w:rFonts w:hint="eastAsia"/>
      </w:rPr>
    </w:lvl>
  </w:abstractNum>
  <w:abstractNum w:abstractNumId="5">
    <w:nsid w:val="34D874A9"/>
    <w:multiLevelType w:val="multilevel"/>
    <w:tmpl w:val="34D874A9"/>
    <w:lvl w:ilvl="0" w:tentative="0">
      <w:start w:val="1"/>
      <w:numFmt w:val="decimal"/>
      <w:lvlText w:val="%1．"/>
      <w:lvlJc w:val="left"/>
      <w:pPr>
        <w:ind w:left="1204" w:hanging="49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6">
    <w:nsid w:val="3BEE549C"/>
    <w:multiLevelType w:val="multilevel"/>
    <w:tmpl w:val="3BEE549C"/>
    <w:lvl w:ilvl="0" w:tentative="0">
      <w:start w:val="3"/>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7">
    <w:nsid w:val="67FEE382"/>
    <w:multiLevelType w:val="singleLevel"/>
    <w:tmpl w:val="67FEE382"/>
    <w:lvl w:ilvl="0" w:tentative="0">
      <w:start w:val="1"/>
      <w:numFmt w:val="chineseCounting"/>
      <w:suff w:val="nothing"/>
      <w:lvlText w:val="（%1）"/>
      <w:lvlJc w:val="left"/>
      <w:pPr>
        <w:ind w:left="494" w:firstLine="0"/>
      </w:pPr>
      <w:rPr>
        <w:rFonts w:hint="eastAsia"/>
      </w:rPr>
    </w:lvl>
  </w:abstractNum>
  <w:abstractNum w:abstractNumId="8">
    <w:nsid w:val="7F041AB0"/>
    <w:multiLevelType w:val="multilevel"/>
    <w:tmpl w:val="7F041AB0"/>
    <w:lvl w:ilvl="0" w:tentative="0">
      <w:start w:val="1"/>
      <w:numFmt w:val="decimal"/>
      <w:lvlText w:val="%1."/>
      <w:lvlJc w:val="left"/>
      <w:pPr>
        <w:ind w:left="880" w:hanging="24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8"/>
  </w:num>
  <w:num w:numId="3">
    <w:abstractNumId w:val="5"/>
  </w:num>
  <w:num w:numId="4">
    <w:abstractNumId w:val="6"/>
  </w:num>
  <w:num w:numId="5">
    <w:abstractNumId w:val="7"/>
  </w:num>
  <w:num w:numId="6">
    <w:abstractNumId w:val="4"/>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05E6"/>
    <w:rsid w:val="000222C6"/>
    <w:rsid w:val="0002549F"/>
    <w:rsid w:val="00030B69"/>
    <w:rsid w:val="00036FCA"/>
    <w:rsid w:val="000468DB"/>
    <w:rsid w:val="00063170"/>
    <w:rsid w:val="0006487A"/>
    <w:rsid w:val="00065F8F"/>
    <w:rsid w:val="00070A43"/>
    <w:rsid w:val="00071370"/>
    <w:rsid w:val="000713BE"/>
    <w:rsid w:val="000743DA"/>
    <w:rsid w:val="000768F2"/>
    <w:rsid w:val="00080705"/>
    <w:rsid w:val="00081CA5"/>
    <w:rsid w:val="0009184B"/>
    <w:rsid w:val="00094236"/>
    <w:rsid w:val="0009593C"/>
    <w:rsid w:val="00097322"/>
    <w:rsid w:val="000A4BEE"/>
    <w:rsid w:val="000A6A92"/>
    <w:rsid w:val="000B047F"/>
    <w:rsid w:val="000B5923"/>
    <w:rsid w:val="000B5A48"/>
    <w:rsid w:val="000B6FF3"/>
    <w:rsid w:val="000C335B"/>
    <w:rsid w:val="000C3467"/>
    <w:rsid w:val="000C3CA6"/>
    <w:rsid w:val="000C7346"/>
    <w:rsid w:val="000D1267"/>
    <w:rsid w:val="000D1D50"/>
    <w:rsid w:val="000D5782"/>
    <w:rsid w:val="000E34E9"/>
    <w:rsid w:val="000E3FAA"/>
    <w:rsid w:val="000E6613"/>
    <w:rsid w:val="000E7119"/>
    <w:rsid w:val="000F00E3"/>
    <w:rsid w:val="00105857"/>
    <w:rsid w:val="00114E9B"/>
    <w:rsid w:val="001254DD"/>
    <w:rsid w:val="00142216"/>
    <w:rsid w:val="001447FF"/>
    <w:rsid w:val="00144D6A"/>
    <w:rsid w:val="0014729F"/>
    <w:rsid w:val="00157BAB"/>
    <w:rsid w:val="00161ADD"/>
    <w:rsid w:val="00162C85"/>
    <w:rsid w:val="00163351"/>
    <w:rsid w:val="00164BBC"/>
    <w:rsid w:val="001654D1"/>
    <w:rsid w:val="00170713"/>
    <w:rsid w:val="00174518"/>
    <w:rsid w:val="001800D1"/>
    <w:rsid w:val="0018106D"/>
    <w:rsid w:val="00181CC3"/>
    <w:rsid w:val="00183CA3"/>
    <w:rsid w:val="00187614"/>
    <w:rsid w:val="001877A7"/>
    <w:rsid w:val="00191536"/>
    <w:rsid w:val="00196687"/>
    <w:rsid w:val="001A22F1"/>
    <w:rsid w:val="001A328F"/>
    <w:rsid w:val="001A7FBB"/>
    <w:rsid w:val="001B67B2"/>
    <w:rsid w:val="001B6AED"/>
    <w:rsid w:val="001B6B42"/>
    <w:rsid w:val="001C0962"/>
    <w:rsid w:val="001D7531"/>
    <w:rsid w:val="001E737D"/>
    <w:rsid w:val="001F0592"/>
    <w:rsid w:val="001F6867"/>
    <w:rsid w:val="001F7506"/>
    <w:rsid w:val="002006CD"/>
    <w:rsid w:val="00202B36"/>
    <w:rsid w:val="00204B7A"/>
    <w:rsid w:val="00204CDE"/>
    <w:rsid w:val="0021101A"/>
    <w:rsid w:val="00220536"/>
    <w:rsid w:val="00225AD5"/>
    <w:rsid w:val="002314B9"/>
    <w:rsid w:val="00235629"/>
    <w:rsid w:val="0024195A"/>
    <w:rsid w:val="00250C7F"/>
    <w:rsid w:val="00260C38"/>
    <w:rsid w:val="002616C0"/>
    <w:rsid w:val="00262B41"/>
    <w:rsid w:val="00263C2D"/>
    <w:rsid w:val="00265372"/>
    <w:rsid w:val="002662AA"/>
    <w:rsid w:val="00280496"/>
    <w:rsid w:val="00293A2C"/>
    <w:rsid w:val="00294DC9"/>
    <w:rsid w:val="00295495"/>
    <w:rsid w:val="00295CD0"/>
    <w:rsid w:val="00297E8E"/>
    <w:rsid w:val="002A31DE"/>
    <w:rsid w:val="002B18B0"/>
    <w:rsid w:val="002B19DD"/>
    <w:rsid w:val="002B2613"/>
    <w:rsid w:val="002C624E"/>
    <w:rsid w:val="002D6818"/>
    <w:rsid w:val="002D6D05"/>
    <w:rsid w:val="002F1818"/>
    <w:rsid w:val="002F567B"/>
    <w:rsid w:val="0030378B"/>
    <w:rsid w:val="00316D98"/>
    <w:rsid w:val="003216A9"/>
    <w:rsid w:val="00321D34"/>
    <w:rsid w:val="00324D2B"/>
    <w:rsid w:val="003356AA"/>
    <w:rsid w:val="00335A74"/>
    <w:rsid w:val="00342EC9"/>
    <w:rsid w:val="0036561B"/>
    <w:rsid w:val="00366425"/>
    <w:rsid w:val="0037013F"/>
    <w:rsid w:val="00377A1B"/>
    <w:rsid w:val="00380C92"/>
    <w:rsid w:val="00381DD0"/>
    <w:rsid w:val="00384543"/>
    <w:rsid w:val="0038620B"/>
    <w:rsid w:val="00394E4C"/>
    <w:rsid w:val="003A167B"/>
    <w:rsid w:val="003A3E4F"/>
    <w:rsid w:val="003A484F"/>
    <w:rsid w:val="003A4883"/>
    <w:rsid w:val="003A6C05"/>
    <w:rsid w:val="003B0BE0"/>
    <w:rsid w:val="003B0C1B"/>
    <w:rsid w:val="003B4F77"/>
    <w:rsid w:val="003B688C"/>
    <w:rsid w:val="003C0291"/>
    <w:rsid w:val="003C39AE"/>
    <w:rsid w:val="003C7B60"/>
    <w:rsid w:val="003D0C0F"/>
    <w:rsid w:val="003D1FB2"/>
    <w:rsid w:val="003D66DA"/>
    <w:rsid w:val="003E1310"/>
    <w:rsid w:val="003E6F55"/>
    <w:rsid w:val="004049F1"/>
    <w:rsid w:val="00406254"/>
    <w:rsid w:val="00416067"/>
    <w:rsid w:val="004223DE"/>
    <w:rsid w:val="00425BF2"/>
    <w:rsid w:val="00434489"/>
    <w:rsid w:val="004344DC"/>
    <w:rsid w:val="0043572A"/>
    <w:rsid w:val="00437085"/>
    <w:rsid w:val="00443880"/>
    <w:rsid w:val="004464F4"/>
    <w:rsid w:val="00456919"/>
    <w:rsid w:val="00463255"/>
    <w:rsid w:val="00471401"/>
    <w:rsid w:val="00473F31"/>
    <w:rsid w:val="00482308"/>
    <w:rsid w:val="0048263A"/>
    <w:rsid w:val="00487E5D"/>
    <w:rsid w:val="004933D3"/>
    <w:rsid w:val="004A134F"/>
    <w:rsid w:val="004A37E5"/>
    <w:rsid w:val="004A711F"/>
    <w:rsid w:val="004B199D"/>
    <w:rsid w:val="004B4690"/>
    <w:rsid w:val="004D4688"/>
    <w:rsid w:val="004E008C"/>
    <w:rsid w:val="004E0A2D"/>
    <w:rsid w:val="004E206B"/>
    <w:rsid w:val="004E6DF7"/>
    <w:rsid w:val="004E6FC8"/>
    <w:rsid w:val="004E77B5"/>
    <w:rsid w:val="004F0FBD"/>
    <w:rsid w:val="004F6FA3"/>
    <w:rsid w:val="00505A47"/>
    <w:rsid w:val="00512FDA"/>
    <w:rsid w:val="00520DA0"/>
    <w:rsid w:val="005427A1"/>
    <w:rsid w:val="005517B2"/>
    <w:rsid w:val="005664BB"/>
    <w:rsid w:val="00566FFA"/>
    <w:rsid w:val="0057481D"/>
    <w:rsid w:val="00575C6A"/>
    <w:rsid w:val="0058486E"/>
    <w:rsid w:val="00585B33"/>
    <w:rsid w:val="0058708C"/>
    <w:rsid w:val="0059014D"/>
    <w:rsid w:val="0059305D"/>
    <w:rsid w:val="00596824"/>
    <w:rsid w:val="005A761B"/>
    <w:rsid w:val="005A7C58"/>
    <w:rsid w:val="005B5C64"/>
    <w:rsid w:val="005C00E4"/>
    <w:rsid w:val="005C5337"/>
    <w:rsid w:val="005C6BD0"/>
    <w:rsid w:val="005D1C8B"/>
    <w:rsid w:val="005D468D"/>
    <w:rsid w:val="005D5CED"/>
    <w:rsid w:val="005F1A4C"/>
    <w:rsid w:val="0060241A"/>
    <w:rsid w:val="00605688"/>
    <w:rsid w:val="006070AF"/>
    <w:rsid w:val="00607E6C"/>
    <w:rsid w:val="006101B1"/>
    <w:rsid w:val="00614E44"/>
    <w:rsid w:val="0062270A"/>
    <w:rsid w:val="00622830"/>
    <w:rsid w:val="00623DA0"/>
    <w:rsid w:val="00630AEF"/>
    <w:rsid w:val="006325F8"/>
    <w:rsid w:val="00633463"/>
    <w:rsid w:val="00634C9A"/>
    <w:rsid w:val="0063741F"/>
    <w:rsid w:val="00642281"/>
    <w:rsid w:val="006440E4"/>
    <w:rsid w:val="00651E43"/>
    <w:rsid w:val="00653A8E"/>
    <w:rsid w:val="0066343B"/>
    <w:rsid w:val="00664777"/>
    <w:rsid w:val="006748A4"/>
    <w:rsid w:val="006771A0"/>
    <w:rsid w:val="00681A31"/>
    <w:rsid w:val="00683E73"/>
    <w:rsid w:val="00685040"/>
    <w:rsid w:val="00690FB7"/>
    <w:rsid w:val="00694D8F"/>
    <w:rsid w:val="006A20ED"/>
    <w:rsid w:val="006A3141"/>
    <w:rsid w:val="006A396E"/>
    <w:rsid w:val="006A3C1F"/>
    <w:rsid w:val="006A4FDD"/>
    <w:rsid w:val="006A5E34"/>
    <w:rsid w:val="006B2422"/>
    <w:rsid w:val="006B2B9A"/>
    <w:rsid w:val="006B7C85"/>
    <w:rsid w:val="006C1937"/>
    <w:rsid w:val="006C48E8"/>
    <w:rsid w:val="006C5E9C"/>
    <w:rsid w:val="006C6D19"/>
    <w:rsid w:val="006D73B9"/>
    <w:rsid w:val="006D7730"/>
    <w:rsid w:val="006E0CDD"/>
    <w:rsid w:val="006F020C"/>
    <w:rsid w:val="006F7D0B"/>
    <w:rsid w:val="007127B7"/>
    <w:rsid w:val="0071798E"/>
    <w:rsid w:val="007416B6"/>
    <w:rsid w:val="00746F48"/>
    <w:rsid w:val="007500FA"/>
    <w:rsid w:val="007514F2"/>
    <w:rsid w:val="0075293C"/>
    <w:rsid w:val="00753340"/>
    <w:rsid w:val="0075404D"/>
    <w:rsid w:val="00756F91"/>
    <w:rsid w:val="0076182A"/>
    <w:rsid w:val="00767A3F"/>
    <w:rsid w:val="00767B7E"/>
    <w:rsid w:val="00767BA4"/>
    <w:rsid w:val="007770C3"/>
    <w:rsid w:val="00783C2C"/>
    <w:rsid w:val="00784D24"/>
    <w:rsid w:val="00785FBA"/>
    <w:rsid w:val="00786E4A"/>
    <w:rsid w:val="007875EB"/>
    <w:rsid w:val="00791D7E"/>
    <w:rsid w:val="007929D5"/>
    <w:rsid w:val="0079426B"/>
    <w:rsid w:val="00795468"/>
    <w:rsid w:val="007A016E"/>
    <w:rsid w:val="007A0DCA"/>
    <w:rsid w:val="007B01AA"/>
    <w:rsid w:val="007C218E"/>
    <w:rsid w:val="007C3922"/>
    <w:rsid w:val="007C4D3E"/>
    <w:rsid w:val="007D1682"/>
    <w:rsid w:val="007D312A"/>
    <w:rsid w:val="007D3F19"/>
    <w:rsid w:val="007D75CE"/>
    <w:rsid w:val="007E1329"/>
    <w:rsid w:val="007E23B0"/>
    <w:rsid w:val="007E23E5"/>
    <w:rsid w:val="007E3C9E"/>
    <w:rsid w:val="007E4E2D"/>
    <w:rsid w:val="007F0D01"/>
    <w:rsid w:val="007F1991"/>
    <w:rsid w:val="007F2C2F"/>
    <w:rsid w:val="007F55FC"/>
    <w:rsid w:val="007F5665"/>
    <w:rsid w:val="00800112"/>
    <w:rsid w:val="00803BCD"/>
    <w:rsid w:val="00813348"/>
    <w:rsid w:val="008253BB"/>
    <w:rsid w:val="008314F3"/>
    <w:rsid w:val="0083706E"/>
    <w:rsid w:val="008408F6"/>
    <w:rsid w:val="008423A5"/>
    <w:rsid w:val="00843161"/>
    <w:rsid w:val="00850625"/>
    <w:rsid w:val="00853718"/>
    <w:rsid w:val="00855221"/>
    <w:rsid w:val="00855CE5"/>
    <w:rsid w:val="00860645"/>
    <w:rsid w:val="008624FE"/>
    <w:rsid w:val="008671F8"/>
    <w:rsid w:val="00867BB4"/>
    <w:rsid w:val="00871F71"/>
    <w:rsid w:val="00872FD8"/>
    <w:rsid w:val="00874EE3"/>
    <w:rsid w:val="008800FE"/>
    <w:rsid w:val="00882384"/>
    <w:rsid w:val="0088262F"/>
    <w:rsid w:val="00882B9B"/>
    <w:rsid w:val="00885AF4"/>
    <w:rsid w:val="008869E6"/>
    <w:rsid w:val="008932D9"/>
    <w:rsid w:val="008939CD"/>
    <w:rsid w:val="00895827"/>
    <w:rsid w:val="008B0B02"/>
    <w:rsid w:val="008B0C6B"/>
    <w:rsid w:val="008B768C"/>
    <w:rsid w:val="008C4DB1"/>
    <w:rsid w:val="008C4EAF"/>
    <w:rsid w:val="008C5176"/>
    <w:rsid w:val="008C7FD0"/>
    <w:rsid w:val="008E1DE7"/>
    <w:rsid w:val="008E707C"/>
    <w:rsid w:val="008F4F45"/>
    <w:rsid w:val="00900B08"/>
    <w:rsid w:val="00902155"/>
    <w:rsid w:val="00902FA3"/>
    <w:rsid w:val="00905B6A"/>
    <w:rsid w:val="00906523"/>
    <w:rsid w:val="00921169"/>
    <w:rsid w:val="00923564"/>
    <w:rsid w:val="0092392E"/>
    <w:rsid w:val="009315F9"/>
    <w:rsid w:val="00932824"/>
    <w:rsid w:val="00933499"/>
    <w:rsid w:val="00935C98"/>
    <w:rsid w:val="00945500"/>
    <w:rsid w:val="00946945"/>
    <w:rsid w:val="00946974"/>
    <w:rsid w:val="00951248"/>
    <w:rsid w:val="0095152F"/>
    <w:rsid w:val="00954C49"/>
    <w:rsid w:val="00955E37"/>
    <w:rsid w:val="00962589"/>
    <w:rsid w:val="009635DB"/>
    <w:rsid w:val="00963D0A"/>
    <w:rsid w:val="00963F4B"/>
    <w:rsid w:val="009642B8"/>
    <w:rsid w:val="00965B6E"/>
    <w:rsid w:val="0097099F"/>
    <w:rsid w:val="00971997"/>
    <w:rsid w:val="00971C6A"/>
    <w:rsid w:val="00971FFC"/>
    <w:rsid w:val="0097213A"/>
    <w:rsid w:val="00975C46"/>
    <w:rsid w:val="0098660A"/>
    <w:rsid w:val="00987D95"/>
    <w:rsid w:val="00991B46"/>
    <w:rsid w:val="009931C3"/>
    <w:rsid w:val="00993212"/>
    <w:rsid w:val="009935B4"/>
    <w:rsid w:val="009A08B2"/>
    <w:rsid w:val="009A128B"/>
    <w:rsid w:val="009A1776"/>
    <w:rsid w:val="009A22D4"/>
    <w:rsid w:val="009A2C83"/>
    <w:rsid w:val="009A2E8B"/>
    <w:rsid w:val="009A36D3"/>
    <w:rsid w:val="009B0CB9"/>
    <w:rsid w:val="009B2C43"/>
    <w:rsid w:val="009B4EAE"/>
    <w:rsid w:val="009B7573"/>
    <w:rsid w:val="009C22F4"/>
    <w:rsid w:val="009C2A4B"/>
    <w:rsid w:val="009C2E98"/>
    <w:rsid w:val="009D3447"/>
    <w:rsid w:val="009D4711"/>
    <w:rsid w:val="009E2B15"/>
    <w:rsid w:val="009F1185"/>
    <w:rsid w:val="009F18CD"/>
    <w:rsid w:val="009F2A13"/>
    <w:rsid w:val="009F7527"/>
    <w:rsid w:val="009F774C"/>
    <w:rsid w:val="00A04EB0"/>
    <w:rsid w:val="00A13CC1"/>
    <w:rsid w:val="00A14A42"/>
    <w:rsid w:val="00A16847"/>
    <w:rsid w:val="00A237D8"/>
    <w:rsid w:val="00A268C4"/>
    <w:rsid w:val="00A307CD"/>
    <w:rsid w:val="00A331C8"/>
    <w:rsid w:val="00A40A00"/>
    <w:rsid w:val="00A4142F"/>
    <w:rsid w:val="00A422EB"/>
    <w:rsid w:val="00A45BB7"/>
    <w:rsid w:val="00A56DF2"/>
    <w:rsid w:val="00A56E6E"/>
    <w:rsid w:val="00A631CD"/>
    <w:rsid w:val="00A64803"/>
    <w:rsid w:val="00A67AB5"/>
    <w:rsid w:val="00A733B2"/>
    <w:rsid w:val="00A741C2"/>
    <w:rsid w:val="00A80819"/>
    <w:rsid w:val="00A9065C"/>
    <w:rsid w:val="00A91760"/>
    <w:rsid w:val="00A93B00"/>
    <w:rsid w:val="00A93C21"/>
    <w:rsid w:val="00A95121"/>
    <w:rsid w:val="00A95C95"/>
    <w:rsid w:val="00A96DAA"/>
    <w:rsid w:val="00AB64C9"/>
    <w:rsid w:val="00AC3C6A"/>
    <w:rsid w:val="00AD480F"/>
    <w:rsid w:val="00AD4DDE"/>
    <w:rsid w:val="00AD5620"/>
    <w:rsid w:val="00AD656B"/>
    <w:rsid w:val="00AD781D"/>
    <w:rsid w:val="00AD7C1B"/>
    <w:rsid w:val="00AE16BA"/>
    <w:rsid w:val="00AE1EBE"/>
    <w:rsid w:val="00AE70AB"/>
    <w:rsid w:val="00AE7B19"/>
    <w:rsid w:val="00AF3CA2"/>
    <w:rsid w:val="00B03C9D"/>
    <w:rsid w:val="00B05EA2"/>
    <w:rsid w:val="00B060AE"/>
    <w:rsid w:val="00B10517"/>
    <w:rsid w:val="00B14E76"/>
    <w:rsid w:val="00B161B8"/>
    <w:rsid w:val="00B16BFC"/>
    <w:rsid w:val="00B2048C"/>
    <w:rsid w:val="00B310B9"/>
    <w:rsid w:val="00B32CF1"/>
    <w:rsid w:val="00B35F3F"/>
    <w:rsid w:val="00B36CBB"/>
    <w:rsid w:val="00B3765A"/>
    <w:rsid w:val="00B425E0"/>
    <w:rsid w:val="00B440AA"/>
    <w:rsid w:val="00B44B70"/>
    <w:rsid w:val="00B50849"/>
    <w:rsid w:val="00B53C56"/>
    <w:rsid w:val="00B57DAF"/>
    <w:rsid w:val="00B614F6"/>
    <w:rsid w:val="00B77EA6"/>
    <w:rsid w:val="00B81598"/>
    <w:rsid w:val="00B841F1"/>
    <w:rsid w:val="00B8651E"/>
    <w:rsid w:val="00B944D6"/>
    <w:rsid w:val="00BB13F7"/>
    <w:rsid w:val="00BB4DF0"/>
    <w:rsid w:val="00BC289F"/>
    <w:rsid w:val="00BC2D50"/>
    <w:rsid w:val="00BC4909"/>
    <w:rsid w:val="00BC5361"/>
    <w:rsid w:val="00BC5460"/>
    <w:rsid w:val="00BC6674"/>
    <w:rsid w:val="00BC6B50"/>
    <w:rsid w:val="00BD0E25"/>
    <w:rsid w:val="00BF5BD6"/>
    <w:rsid w:val="00BF6FE7"/>
    <w:rsid w:val="00C00689"/>
    <w:rsid w:val="00C018CC"/>
    <w:rsid w:val="00C03E31"/>
    <w:rsid w:val="00C04BCB"/>
    <w:rsid w:val="00C056FC"/>
    <w:rsid w:val="00C15756"/>
    <w:rsid w:val="00C170B4"/>
    <w:rsid w:val="00C218F4"/>
    <w:rsid w:val="00C33988"/>
    <w:rsid w:val="00C33E72"/>
    <w:rsid w:val="00C354B2"/>
    <w:rsid w:val="00C35554"/>
    <w:rsid w:val="00C42709"/>
    <w:rsid w:val="00C45954"/>
    <w:rsid w:val="00C533CC"/>
    <w:rsid w:val="00C545A4"/>
    <w:rsid w:val="00C54DDE"/>
    <w:rsid w:val="00C5751C"/>
    <w:rsid w:val="00C61BFC"/>
    <w:rsid w:val="00C62B85"/>
    <w:rsid w:val="00C65438"/>
    <w:rsid w:val="00C87FD8"/>
    <w:rsid w:val="00C91381"/>
    <w:rsid w:val="00C91838"/>
    <w:rsid w:val="00C91CBB"/>
    <w:rsid w:val="00CA2828"/>
    <w:rsid w:val="00CA3D8D"/>
    <w:rsid w:val="00CA4EB5"/>
    <w:rsid w:val="00CB4E70"/>
    <w:rsid w:val="00CC04CB"/>
    <w:rsid w:val="00CC09B6"/>
    <w:rsid w:val="00CC666F"/>
    <w:rsid w:val="00CD1E3F"/>
    <w:rsid w:val="00CE44F6"/>
    <w:rsid w:val="00CE49DA"/>
    <w:rsid w:val="00CE6DB9"/>
    <w:rsid w:val="00CE7B61"/>
    <w:rsid w:val="00D00095"/>
    <w:rsid w:val="00D0455C"/>
    <w:rsid w:val="00D114F0"/>
    <w:rsid w:val="00D1204A"/>
    <w:rsid w:val="00D145DA"/>
    <w:rsid w:val="00D20620"/>
    <w:rsid w:val="00D254F7"/>
    <w:rsid w:val="00D26091"/>
    <w:rsid w:val="00D2685C"/>
    <w:rsid w:val="00D34E7C"/>
    <w:rsid w:val="00D35489"/>
    <w:rsid w:val="00D36AFE"/>
    <w:rsid w:val="00D424B5"/>
    <w:rsid w:val="00D43BF5"/>
    <w:rsid w:val="00D46FE8"/>
    <w:rsid w:val="00D51247"/>
    <w:rsid w:val="00D51276"/>
    <w:rsid w:val="00D62543"/>
    <w:rsid w:val="00D7035F"/>
    <w:rsid w:val="00DA634F"/>
    <w:rsid w:val="00DA65AC"/>
    <w:rsid w:val="00DB1913"/>
    <w:rsid w:val="00DB3920"/>
    <w:rsid w:val="00DB61F5"/>
    <w:rsid w:val="00DC410D"/>
    <w:rsid w:val="00DC48AA"/>
    <w:rsid w:val="00DC5A81"/>
    <w:rsid w:val="00DC68CA"/>
    <w:rsid w:val="00DC7CBA"/>
    <w:rsid w:val="00DD73B7"/>
    <w:rsid w:val="00DE0FF8"/>
    <w:rsid w:val="00DE16AE"/>
    <w:rsid w:val="00DF0956"/>
    <w:rsid w:val="00DF28BC"/>
    <w:rsid w:val="00DF34B9"/>
    <w:rsid w:val="00DF5AD2"/>
    <w:rsid w:val="00E01053"/>
    <w:rsid w:val="00E0171B"/>
    <w:rsid w:val="00E05CD1"/>
    <w:rsid w:val="00E07ACF"/>
    <w:rsid w:val="00E17A9E"/>
    <w:rsid w:val="00E331A1"/>
    <w:rsid w:val="00E33202"/>
    <w:rsid w:val="00E336A9"/>
    <w:rsid w:val="00E354E0"/>
    <w:rsid w:val="00E472B1"/>
    <w:rsid w:val="00E50624"/>
    <w:rsid w:val="00E54633"/>
    <w:rsid w:val="00E54C71"/>
    <w:rsid w:val="00E568DF"/>
    <w:rsid w:val="00E64269"/>
    <w:rsid w:val="00E7574F"/>
    <w:rsid w:val="00E75963"/>
    <w:rsid w:val="00E82267"/>
    <w:rsid w:val="00E839D7"/>
    <w:rsid w:val="00E853CE"/>
    <w:rsid w:val="00E867B6"/>
    <w:rsid w:val="00E932DC"/>
    <w:rsid w:val="00EA010F"/>
    <w:rsid w:val="00EA0949"/>
    <w:rsid w:val="00EA4B0A"/>
    <w:rsid w:val="00EA7FD7"/>
    <w:rsid w:val="00EC41A9"/>
    <w:rsid w:val="00EC7F4D"/>
    <w:rsid w:val="00ED1B63"/>
    <w:rsid w:val="00ED3C1F"/>
    <w:rsid w:val="00ED4085"/>
    <w:rsid w:val="00ED420E"/>
    <w:rsid w:val="00ED6FBE"/>
    <w:rsid w:val="00EE2F57"/>
    <w:rsid w:val="00EF4C34"/>
    <w:rsid w:val="00EF665D"/>
    <w:rsid w:val="00EF77C6"/>
    <w:rsid w:val="00F05438"/>
    <w:rsid w:val="00F1096B"/>
    <w:rsid w:val="00F1361C"/>
    <w:rsid w:val="00F156F0"/>
    <w:rsid w:val="00F160C7"/>
    <w:rsid w:val="00F2408F"/>
    <w:rsid w:val="00F240E9"/>
    <w:rsid w:val="00F27013"/>
    <w:rsid w:val="00F36D8F"/>
    <w:rsid w:val="00F417B1"/>
    <w:rsid w:val="00F45853"/>
    <w:rsid w:val="00F602DF"/>
    <w:rsid w:val="00F62AA2"/>
    <w:rsid w:val="00F70DC3"/>
    <w:rsid w:val="00F754A1"/>
    <w:rsid w:val="00F80DD4"/>
    <w:rsid w:val="00F81040"/>
    <w:rsid w:val="00F81FD9"/>
    <w:rsid w:val="00F8268A"/>
    <w:rsid w:val="00F841AA"/>
    <w:rsid w:val="00F84A94"/>
    <w:rsid w:val="00F87E96"/>
    <w:rsid w:val="00F963FA"/>
    <w:rsid w:val="00FA23E8"/>
    <w:rsid w:val="00FA3464"/>
    <w:rsid w:val="00FA34A6"/>
    <w:rsid w:val="00FA388A"/>
    <w:rsid w:val="00FA65B7"/>
    <w:rsid w:val="00FD3CC1"/>
    <w:rsid w:val="00FF1E02"/>
    <w:rsid w:val="00FF30B4"/>
    <w:rsid w:val="015975B8"/>
    <w:rsid w:val="02317B1B"/>
    <w:rsid w:val="02FEBE30"/>
    <w:rsid w:val="061E35DE"/>
    <w:rsid w:val="066E0107"/>
    <w:rsid w:val="073360BD"/>
    <w:rsid w:val="07996F6E"/>
    <w:rsid w:val="07DFD8BA"/>
    <w:rsid w:val="08931509"/>
    <w:rsid w:val="08DB07E4"/>
    <w:rsid w:val="0966277A"/>
    <w:rsid w:val="09867E8F"/>
    <w:rsid w:val="0A2032A3"/>
    <w:rsid w:val="0C304E24"/>
    <w:rsid w:val="0C6C4794"/>
    <w:rsid w:val="0CA8290A"/>
    <w:rsid w:val="0D35B1ED"/>
    <w:rsid w:val="0DE07E2B"/>
    <w:rsid w:val="0F98263C"/>
    <w:rsid w:val="0FAC2281"/>
    <w:rsid w:val="0FDE8396"/>
    <w:rsid w:val="101860EC"/>
    <w:rsid w:val="10C055FF"/>
    <w:rsid w:val="11772AA4"/>
    <w:rsid w:val="118107EC"/>
    <w:rsid w:val="11A24B37"/>
    <w:rsid w:val="13D50BC4"/>
    <w:rsid w:val="14022904"/>
    <w:rsid w:val="14AF0D44"/>
    <w:rsid w:val="152F2A07"/>
    <w:rsid w:val="165E0673"/>
    <w:rsid w:val="16BB723D"/>
    <w:rsid w:val="17132DAC"/>
    <w:rsid w:val="186504BB"/>
    <w:rsid w:val="1938089F"/>
    <w:rsid w:val="19A445FC"/>
    <w:rsid w:val="1A5C0DE0"/>
    <w:rsid w:val="1B7D550C"/>
    <w:rsid w:val="1BE8440E"/>
    <w:rsid w:val="1D155CEE"/>
    <w:rsid w:val="1DDB5112"/>
    <w:rsid w:val="1E740ACF"/>
    <w:rsid w:val="1FF35744"/>
    <w:rsid w:val="1FF6BC77"/>
    <w:rsid w:val="21962A9E"/>
    <w:rsid w:val="21AE7C77"/>
    <w:rsid w:val="22BC3C41"/>
    <w:rsid w:val="23860B96"/>
    <w:rsid w:val="240371BF"/>
    <w:rsid w:val="25CA33C2"/>
    <w:rsid w:val="260F557C"/>
    <w:rsid w:val="26EA03B0"/>
    <w:rsid w:val="278E4453"/>
    <w:rsid w:val="281408E2"/>
    <w:rsid w:val="29FD04D3"/>
    <w:rsid w:val="2B3B6C3E"/>
    <w:rsid w:val="2BA2153D"/>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366E6E"/>
    <w:rsid w:val="389B6C89"/>
    <w:rsid w:val="38C43AAF"/>
    <w:rsid w:val="38D469F0"/>
    <w:rsid w:val="39627CCD"/>
    <w:rsid w:val="397BAF1F"/>
    <w:rsid w:val="3AB79AF3"/>
    <w:rsid w:val="3B7EF35A"/>
    <w:rsid w:val="3B867E82"/>
    <w:rsid w:val="3B9FDB6C"/>
    <w:rsid w:val="3BF5BC2F"/>
    <w:rsid w:val="3CEBA265"/>
    <w:rsid w:val="3D98207C"/>
    <w:rsid w:val="3D9B0D99"/>
    <w:rsid w:val="3DEE7CF3"/>
    <w:rsid w:val="3DF02244"/>
    <w:rsid w:val="3DF7E020"/>
    <w:rsid w:val="3E78745D"/>
    <w:rsid w:val="3EF356D9"/>
    <w:rsid w:val="3FF4CAE0"/>
    <w:rsid w:val="3FF7B227"/>
    <w:rsid w:val="40E54C45"/>
    <w:rsid w:val="427E5E44"/>
    <w:rsid w:val="43A407DF"/>
    <w:rsid w:val="44515BEA"/>
    <w:rsid w:val="44E268DA"/>
    <w:rsid w:val="453F7E5B"/>
    <w:rsid w:val="486A6C7A"/>
    <w:rsid w:val="48717721"/>
    <w:rsid w:val="49176D9B"/>
    <w:rsid w:val="495E0910"/>
    <w:rsid w:val="4A627F82"/>
    <w:rsid w:val="4AAA2924"/>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9B748F5"/>
    <w:rsid w:val="5AF92295"/>
    <w:rsid w:val="5BDD79E6"/>
    <w:rsid w:val="5BF561CA"/>
    <w:rsid w:val="5BFF5DFC"/>
    <w:rsid w:val="5CD71FC4"/>
    <w:rsid w:val="5D1F11B5"/>
    <w:rsid w:val="5D3E85D2"/>
    <w:rsid w:val="5DAE1B18"/>
    <w:rsid w:val="5DE7D9E5"/>
    <w:rsid w:val="5ECEC941"/>
    <w:rsid w:val="5EFEE796"/>
    <w:rsid w:val="5F493CB7"/>
    <w:rsid w:val="5FBF9FF3"/>
    <w:rsid w:val="5FCD4E2C"/>
    <w:rsid w:val="5FD15F49"/>
    <w:rsid w:val="5FEF394A"/>
    <w:rsid w:val="5FF67715"/>
    <w:rsid w:val="620E7034"/>
    <w:rsid w:val="62BF3928"/>
    <w:rsid w:val="647F5392"/>
    <w:rsid w:val="65F93ACA"/>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A36ACE"/>
    <w:rsid w:val="6ED6A62E"/>
    <w:rsid w:val="6EE00B15"/>
    <w:rsid w:val="6F544B20"/>
    <w:rsid w:val="6F6FB3EB"/>
    <w:rsid w:val="6F784160"/>
    <w:rsid w:val="6F8731EA"/>
    <w:rsid w:val="6FCE6052"/>
    <w:rsid w:val="6FD57C00"/>
    <w:rsid w:val="6FD73F2D"/>
    <w:rsid w:val="6FDE3B30"/>
    <w:rsid w:val="6FEF75D0"/>
    <w:rsid w:val="6FEFB8B3"/>
    <w:rsid w:val="6FEFFFD8"/>
    <w:rsid w:val="6FF5CC65"/>
    <w:rsid w:val="6FFB47EC"/>
    <w:rsid w:val="6FFF034A"/>
    <w:rsid w:val="70496804"/>
    <w:rsid w:val="712A28F1"/>
    <w:rsid w:val="715C0E4B"/>
    <w:rsid w:val="72233669"/>
    <w:rsid w:val="72734D90"/>
    <w:rsid w:val="7332FE48"/>
    <w:rsid w:val="73AB61DA"/>
    <w:rsid w:val="73AD73D5"/>
    <w:rsid w:val="73B6EB34"/>
    <w:rsid w:val="73F7C154"/>
    <w:rsid w:val="73FA497D"/>
    <w:rsid w:val="74170350"/>
    <w:rsid w:val="744731E5"/>
    <w:rsid w:val="74527205"/>
    <w:rsid w:val="74BBD01D"/>
    <w:rsid w:val="74ED5379"/>
    <w:rsid w:val="74FC2395"/>
    <w:rsid w:val="75AAA044"/>
    <w:rsid w:val="75DEEEC2"/>
    <w:rsid w:val="76E3355F"/>
    <w:rsid w:val="76FF5125"/>
    <w:rsid w:val="776F6FFA"/>
    <w:rsid w:val="777F8995"/>
    <w:rsid w:val="778769C8"/>
    <w:rsid w:val="77DC22F5"/>
    <w:rsid w:val="77EC41B3"/>
    <w:rsid w:val="77FE7D8C"/>
    <w:rsid w:val="78267E58"/>
    <w:rsid w:val="79086DAD"/>
    <w:rsid w:val="79974F09"/>
    <w:rsid w:val="79C26153"/>
    <w:rsid w:val="79D7FD79"/>
    <w:rsid w:val="79EE5BA4"/>
    <w:rsid w:val="7A894339"/>
    <w:rsid w:val="7AB981DB"/>
    <w:rsid w:val="7AEFB937"/>
    <w:rsid w:val="7AFF7572"/>
    <w:rsid w:val="7B6C7DFB"/>
    <w:rsid w:val="7BBFBED0"/>
    <w:rsid w:val="7BC3E394"/>
    <w:rsid w:val="7C1F3737"/>
    <w:rsid w:val="7CBFC87B"/>
    <w:rsid w:val="7CFE0F48"/>
    <w:rsid w:val="7D7EC23E"/>
    <w:rsid w:val="7D916348"/>
    <w:rsid w:val="7E823A5B"/>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BDBE888"/>
    <w:rsid w:val="BD079C78"/>
    <w:rsid w:val="BD733540"/>
    <w:rsid w:val="BF3735D5"/>
    <w:rsid w:val="BF3E09EA"/>
    <w:rsid w:val="BF7F09AC"/>
    <w:rsid w:val="BFD475C3"/>
    <w:rsid w:val="BFDE5EA6"/>
    <w:rsid w:val="CF6FC6F3"/>
    <w:rsid w:val="CFD3D3D7"/>
    <w:rsid w:val="CFDF1009"/>
    <w:rsid w:val="CFEFCB66"/>
    <w:rsid w:val="D588CA2E"/>
    <w:rsid w:val="D77F1DF5"/>
    <w:rsid w:val="D7D7B16A"/>
    <w:rsid w:val="D7E73A43"/>
    <w:rsid w:val="D8D6DB89"/>
    <w:rsid w:val="DB6F4CAB"/>
    <w:rsid w:val="DB777682"/>
    <w:rsid w:val="DD1FB521"/>
    <w:rsid w:val="DEFBFEAE"/>
    <w:rsid w:val="DF1F3B80"/>
    <w:rsid w:val="DF6F9789"/>
    <w:rsid w:val="DFF76292"/>
    <w:rsid w:val="DFFFA9E8"/>
    <w:rsid w:val="E5F4E9DC"/>
    <w:rsid w:val="E70FE695"/>
    <w:rsid w:val="E8C95B79"/>
    <w:rsid w:val="ECFED1BC"/>
    <w:rsid w:val="ED1D69BB"/>
    <w:rsid w:val="ED7FD312"/>
    <w:rsid w:val="EF53993F"/>
    <w:rsid w:val="EF6FD633"/>
    <w:rsid w:val="EFBFB2F4"/>
    <w:rsid w:val="EFBFFA21"/>
    <w:rsid w:val="EFFBE45E"/>
    <w:rsid w:val="EFFFA2C0"/>
    <w:rsid w:val="F2BEBCB8"/>
    <w:rsid w:val="F36FB518"/>
    <w:rsid w:val="F3A164DF"/>
    <w:rsid w:val="F3DE1A04"/>
    <w:rsid w:val="F3F722E5"/>
    <w:rsid w:val="F7DF1AE8"/>
    <w:rsid w:val="F9FFD77E"/>
    <w:rsid w:val="FA5F1E70"/>
    <w:rsid w:val="FA5FDB97"/>
    <w:rsid w:val="FAE71AC8"/>
    <w:rsid w:val="FB7F486A"/>
    <w:rsid w:val="FBFE1B5C"/>
    <w:rsid w:val="FBFF5B2E"/>
    <w:rsid w:val="FCDF1933"/>
    <w:rsid w:val="FD7FFE2B"/>
    <w:rsid w:val="FDEE196B"/>
    <w:rsid w:val="FDFE6575"/>
    <w:rsid w:val="FEDFDDC2"/>
    <w:rsid w:val="FEED32F6"/>
    <w:rsid w:val="FEF781DD"/>
    <w:rsid w:val="FF3F7E3F"/>
    <w:rsid w:val="FF59815E"/>
    <w:rsid w:val="FF6DF58E"/>
    <w:rsid w:val="FFBA12D7"/>
    <w:rsid w:val="FFDFFAEE"/>
    <w:rsid w:val="FFE53D42"/>
    <w:rsid w:val="FFEF2C9C"/>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8"/>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caption"/>
    <w:basedOn w:val="1"/>
    <w:next w:val="1"/>
    <w:semiHidden/>
    <w:unhideWhenUsed/>
    <w:qFormat/>
    <w:uiPriority w:val="0"/>
    <w:rPr>
      <w:rFonts w:ascii="Arial" w:hAnsi="Arial" w:eastAsia="黑体"/>
      <w:sz w:val="20"/>
    </w:rPr>
  </w:style>
  <w:style w:type="paragraph" w:styleId="9">
    <w:name w:val="toa heading"/>
    <w:basedOn w:val="1"/>
    <w:next w:val="1"/>
    <w:qFormat/>
    <w:uiPriority w:val="0"/>
    <w:pPr>
      <w:spacing w:before="120"/>
    </w:pPr>
    <w:rPr>
      <w:rFonts w:ascii="Arial" w:hAnsi="Arial"/>
    </w:rPr>
  </w:style>
  <w:style w:type="paragraph" w:styleId="10">
    <w:name w:val="Body Text"/>
    <w:basedOn w:val="1"/>
    <w:link w:val="28"/>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Date"/>
    <w:basedOn w:val="1"/>
    <w:next w:val="1"/>
    <w:qFormat/>
    <w:uiPriority w:val="0"/>
    <w:pPr>
      <w:ind w:left="2500" w:leftChars="2500"/>
    </w:pPr>
    <w:rPr>
      <w:rFonts w:ascii="方正仿宋简体" w:eastAsia="方正仿宋简体"/>
      <w:szCs w:val="20"/>
    </w:rPr>
  </w:style>
  <w:style w:type="paragraph" w:styleId="13">
    <w:name w:val="Balloon Text"/>
    <w:basedOn w:val="1"/>
    <w:link w:val="34"/>
    <w:semiHidden/>
    <w:unhideWhenUsed/>
    <w:qFormat/>
    <w:uiPriority w:val="99"/>
    <w:rPr>
      <w:sz w:val="18"/>
      <w:szCs w:val="18"/>
    </w:rPr>
  </w:style>
  <w:style w:type="paragraph" w:styleId="14">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oc 2"/>
    <w:basedOn w:val="1"/>
    <w:next w:val="1"/>
    <w:unhideWhenUsed/>
    <w:qFormat/>
    <w:uiPriority w:val="39"/>
    <w:pPr>
      <w:tabs>
        <w:tab w:val="right" w:leader="dot" w:pos="8296"/>
      </w:tabs>
      <w:ind w:left="420" w:left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5"/>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4"/>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10"/>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5"/>
    <w:qFormat/>
    <w:uiPriority w:val="9"/>
    <w:rPr>
      <w:rFonts w:ascii="Times New Roman" w:hAnsi="Times New Roman"/>
      <w:b/>
      <w:bCs/>
      <w:kern w:val="44"/>
      <w:sz w:val="44"/>
      <w:szCs w:val="44"/>
    </w:rPr>
  </w:style>
  <w:style w:type="character" w:customStyle="1" w:styleId="32">
    <w:name w:val="标题 2 Char"/>
    <w:basedOn w:val="19"/>
    <w:link w:val="6"/>
    <w:qFormat/>
    <w:uiPriority w:val="9"/>
    <w:rPr>
      <w:rFonts w:asciiTheme="majorHAnsi" w:hAnsiTheme="majorHAnsi" w:eastAsiaTheme="majorEastAsia" w:cstheme="majorBidi"/>
      <w:b/>
      <w:bCs/>
      <w:kern w:val="2"/>
      <w:sz w:val="32"/>
      <w:szCs w:val="32"/>
    </w:rPr>
  </w:style>
  <w:style w:type="paragraph" w:customStyle="1" w:styleId="33">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19"/>
    <w:link w:val="13"/>
    <w:semiHidden/>
    <w:qFormat/>
    <w:uiPriority w:val="99"/>
    <w:rPr>
      <w:rFonts w:ascii="Times New Roman" w:hAnsi="Times New Roman"/>
      <w:kern w:val="2"/>
      <w:sz w:val="18"/>
      <w:szCs w:val="18"/>
    </w:rPr>
  </w:style>
  <w:style w:type="character" w:customStyle="1" w:styleId="35">
    <w:name w:val="标题 3 Char"/>
    <w:basedOn w:val="19"/>
    <w:link w:val="7"/>
    <w:qFormat/>
    <w:uiPriority w:val="9"/>
    <w:rPr>
      <w:rFonts w:ascii="Times New Roman" w:hAnsi="Times New Roman"/>
      <w:b/>
      <w:bCs/>
      <w:kern w:val="2"/>
      <w:sz w:val="32"/>
      <w:szCs w:val="32"/>
    </w:rPr>
  </w:style>
  <w:style w:type="paragraph" w:customStyle="1" w:styleId="36">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正文首行缩进 2 Char"/>
    <w:basedOn w:val="19"/>
    <w:link w:val="3"/>
    <w:qFormat/>
    <w:uiPriority w:val="99"/>
    <w:rPr>
      <w:rFonts w:ascii="仿宋_GB2312"/>
      <w:kern w:val="2"/>
      <w:sz w:val="21"/>
      <w:szCs w:val="32"/>
    </w:rPr>
  </w:style>
  <w:style w:type="paragraph" w:customStyle="1" w:styleId="39">
    <w:name w:val="paragraph"/>
    <w:basedOn w:val="1"/>
    <w:qFormat/>
    <w:uiPriority w:val="0"/>
    <w:pPr>
      <w:widowControl/>
      <w:spacing w:before="100" w:beforeAutospacing="1" w:after="100" w:afterAutospacing="1"/>
      <w:jc w:val="left"/>
    </w:pPr>
    <w:rPr>
      <w:rFonts w:ascii="等线" w:hAnsi="等线" w:eastAsia="等线"/>
      <w:kern w:val="0"/>
      <w:sz w:val="24"/>
    </w:rPr>
  </w:style>
  <w:style w:type="paragraph" w:customStyle="1" w:styleId="40">
    <w:name w:val="TOC 标题3"/>
    <w:basedOn w:val="5"/>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871D1-9729-4542-8934-075CA77D390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160</Pages>
  <Words>36342</Words>
  <Characters>39319</Characters>
  <Lines>535</Lines>
  <Paragraphs>150</Paragraphs>
  <TotalTime>8</TotalTime>
  <ScaleCrop>false</ScaleCrop>
  <LinksUpToDate>false</LinksUpToDate>
  <CharactersWithSpaces>39433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2020-08-12T17:49:00Z</dcterms:created>
  <dc:creator>曹颖</dc:creator>
  <cp:lastModifiedBy>唐莉静</cp:lastModifiedBy>
  <cp:lastPrinted>2026-09-07T17:18:00Z</cp:lastPrinted>
  <dcterms:modified xsi:type="dcterms:W3CDTF">2026-09-14T01:29:13Z</dcterms:modified>
  <dc:title>四川省***</dc:title>
  <cp:revision>254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eyJoZGlkIjoiYTM4MTFkMTcyNzA5MzRmMDI0OGNlMTI3ZGEzZTY1MjQiLCJ1c2VySWQiOiI5NzExMzA3MjUifQ==</vt:lpwstr>
  </property>
</Properties>
</file>