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Times New Roman" w:hAnsi="Times New Roman" w:eastAsia="方正小标宋简体"/>
          <w:sz w:val="72"/>
          <w:szCs w:val="72"/>
        </w:rPr>
      </w:pPr>
      <w:bookmarkStart w:id="0" w:name="_Toc15378441"/>
      <w:bookmarkStart w:id="1" w:name="_Toc15377425"/>
      <w:bookmarkStart w:id="2" w:name="_Toc15377193"/>
      <w:bookmarkStart w:id="3" w:name="_Toc15396597"/>
      <w:bookmarkStart w:id="4" w:name="_Toc15396475"/>
      <w:bookmarkStart w:id="5" w:name="_Toc15306267"/>
    </w:p>
    <w:p>
      <w:pPr>
        <w:spacing w:line="600" w:lineRule="exact"/>
        <w:jc w:val="center"/>
        <w:outlineLvl w:val="0"/>
        <w:rPr>
          <w:rFonts w:ascii="Times New Roman" w:hAnsi="Times New Roman" w:eastAsia="方正小标宋简体"/>
          <w:sz w:val="72"/>
          <w:szCs w:val="72"/>
        </w:rPr>
      </w:pPr>
    </w:p>
    <w:p>
      <w:pPr>
        <w:spacing w:line="600" w:lineRule="exact"/>
        <w:jc w:val="center"/>
        <w:outlineLvl w:val="0"/>
        <w:rPr>
          <w:rFonts w:ascii="Times New Roman" w:hAnsi="Times New Roman" w:eastAsia="方正小标宋简体"/>
          <w:sz w:val="72"/>
          <w:szCs w:val="72"/>
        </w:rPr>
      </w:pPr>
    </w:p>
    <w:p>
      <w:pPr>
        <w:pStyle w:val="2"/>
        <w:rPr>
          <w:rFonts w:ascii="Times New Roman" w:hAnsi="Times New Roman" w:eastAsia="方正小标宋简体"/>
          <w:sz w:val="72"/>
          <w:szCs w:val="72"/>
        </w:rPr>
      </w:pPr>
    </w:p>
    <w:p>
      <w:pPr>
        <w:pStyle w:val="3"/>
      </w:pPr>
    </w:p>
    <w:p>
      <w:pPr>
        <w:adjustRightInd w:val="0"/>
        <w:snapToGrid w:val="0"/>
        <w:spacing w:line="360" w:lineRule="auto"/>
        <w:jc w:val="center"/>
        <w:outlineLvl w:val="0"/>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Times New Roman" w:hAnsi="Times New Roman" w:eastAsia="方正小标宋简体" w:cs="方正小标宋简体"/>
          <w:sz w:val="72"/>
          <w:szCs w:val="72"/>
        </w:rPr>
      </w:pPr>
      <w:bookmarkStart w:id="6" w:name="_Toc15306268"/>
      <w:bookmarkStart w:id="7" w:name="_Toc15377426"/>
      <w:bookmarkStart w:id="8" w:name="_Toc15377194"/>
      <w:bookmarkStart w:id="9" w:name="_Toc15396598"/>
      <w:bookmarkStart w:id="10" w:name="_Toc15378442"/>
      <w:bookmarkStart w:id="11" w:name="_Toc15396476"/>
      <w:r>
        <w:rPr>
          <w:rFonts w:hint="eastAsia" w:ascii="Times New Roman" w:hAnsi="Times New Roman" w:eastAsia="方正小标宋简体" w:cs="方正小标宋简体"/>
          <w:sz w:val="72"/>
          <w:szCs w:val="72"/>
          <w:lang w:eastAsia="zh-CN"/>
        </w:rPr>
        <w:t>攀枝花市农林科学研究院</w:t>
      </w:r>
      <w:r>
        <w:rPr>
          <w:rFonts w:hint="eastAsia" w:ascii="Times New Roman" w:hAnsi="Times New Roman" w:eastAsia="方正小标宋简体" w:cs="方正小标宋简体"/>
          <w:sz w:val="72"/>
          <w:szCs w:val="72"/>
        </w:rPr>
        <w:t>部门决算</w:t>
      </w:r>
      <w:bookmarkEnd w:id="6"/>
      <w:bookmarkEnd w:id="7"/>
      <w:bookmarkEnd w:id="8"/>
      <w:bookmarkEnd w:id="9"/>
      <w:bookmarkEnd w:id="10"/>
      <w:bookmarkEnd w:id="11"/>
    </w:p>
    <w:p>
      <w:pPr>
        <w:widowControl/>
        <w:jc w:val="center"/>
        <w:rPr>
          <w:rFonts w:ascii="Times New Roman" w:hAnsi="Times New Roman" w:eastAsia="黑体"/>
          <w:sz w:val="48"/>
          <w:szCs w:val="48"/>
        </w:rPr>
      </w:pPr>
      <w:r>
        <w:rPr>
          <w:rFonts w:ascii="Times New Roman" w:hAnsi="Times New Roman" w:eastAsia="方正小标宋简体"/>
          <w:sz w:val="36"/>
          <w:szCs w:val="36"/>
        </w:rPr>
        <w:br w:type="page"/>
      </w:r>
      <w:r>
        <w:rPr>
          <w:rFonts w:hint="eastAsia" w:ascii="Times New Roman" w:hAnsi="Times New Roman" w:eastAsia="黑体"/>
          <w:sz w:val="48"/>
          <w:szCs w:val="48"/>
        </w:rPr>
        <w:t>目录</w:t>
      </w:r>
    </w:p>
    <w:p>
      <w:pPr>
        <w:widowControl/>
        <w:jc w:val="center"/>
        <w:rPr>
          <w:rFonts w:ascii="Times New Roman" w:hAnsi="Times New Roman" w:eastAsia="黑体" w:cstheme="minorBidi"/>
          <w:sz w:val="28"/>
          <w:szCs w:val="28"/>
        </w:rPr>
      </w:pPr>
    </w:p>
    <w:p>
      <w:pPr>
        <w:pStyle w:val="14"/>
        <w:rPr>
          <w:rFonts w:ascii="Times New Roman" w:hAnsi="Times New Roman"/>
        </w:rPr>
      </w:pPr>
      <w:r>
        <w:rPr>
          <w:rFonts w:hint="eastAsia" w:ascii="Times New Roman" w:hAnsi="Times New Roman"/>
        </w:rPr>
        <w:t>公开时间：2023</w:t>
      </w:r>
      <w:r>
        <w:rPr>
          <w:rFonts w:hint="eastAsia" w:ascii="Times New Roman" w:hAnsi="Times New Roman"/>
          <w:lang w:eastAsia="zh-CN"/>
        </w:rPr>
        <w:t>年</w:t>
      </w:r>
      <w:r>
        <w:rPr>
          <w:rFonts w:hint="eastAsia" w:ascii="Times New Roman" w:hAnsi="Times New Roman"/>
          <w:lang w:val="en-US" w:eastAsia="zh-CN"/>
        </w:rPr>
        <w:t xml:space="preserve">9 </w:t>
      </w:r>
      <w:r>
        <w:rPr>
          <w:rFonts w:hint="eastAsia" w:ascii="Times New Roman" w:hAnsi="Times New Roman"/>
        </w:rPr>
        <w:t>月</w:t>
      </w:r>
      <w:r>
        <w:rPr>
          <w:rFonts w:hint="eastAsia" w:ascii="Times New Roman" w:hAnsi="Times New Roman"/>
          <w:lang w:val="en-US" w:eastAsia="zh-CN"/>
        </w:rPr>
        <w:t>12</w:t>
      </w:r>
      <w:r>
        <w:rPr>
          <w:rFonts w:hint="eastAsia" w:ascii="Times New Roman" w:hAnsi="Times New Roman"/>
        </w:rPr>
        <w:t>日</w:t>
      </w:r>
    </w:p>
    <w:p>
      <w:pPr>
        <w:rPr>
          <w:rFonts w:ascii="Times New Roman" w:hAnsi="Times New Roman"/>
        </w:rPr>
      </w:pPr>
    </w:p>
    <w:p>
      <w:pPr>
        <w:pStyle w:val="14"/>
        <w:adjustRightInd w:val="0"/>
        <w:snapToGrid w:val="0"/>
        <w:spacing w:before="0" w:line="440" w:lineRule="exact"/>
        <w:jc w:val="left"/>
        <w:rPr>
          <w:rFonts w:hint="eastAsia" w:ascii="Times New Roman" w:hAnsi="Times New Roman" w:eastAsia="仿宋" w:cstheme="minorBidi"/>
          <w:sz w:val="24"/>
          <w:szCs w:val="24"/>
          <w:lang w:val="en-US" w:eastAsia="zh-CN"/>
        </w:rPr>
      </w:pPr>
      <w:r>
        <w:rPr>
          <w:rFonts w:hint="eastAsia" w:ascii="Times New Roman" w:hAnsi="Times New Roman"/>
          <w:sz w:val="24"/>
        </w:rPr>
        <w:t>第一部分</w:t>
      </w:r>
      <w:r>
        <w:rPr>
          <w:rFonts w:ascii="Times New Roman" w:hAnsi="Times New Roman"/>
          <w:sz w:val="24"/>
        </w:rPr>
        <w:t xml:space="preserve"> </w:t>
      </w:r>
      <w:r>
        <w:rPr>
          <w:rFonts w:hint="eastAsia" w:ascii="Times New Roman" w:hAnsi="Times New Roman"/>
          <w:sz w:val="24"/>
        </w:rPr>
        <w:t>部门概况</w:t>
      </w:r>
      <w:r>
        <w:rPr>
          <w:rFonts w:ascii="Times New Roman" w:hAnsi="Times New Roman" w:cstheme="minorBidi"/>
          <w:sz w:val="24"/>
          <w:szCs w:val="24"/>
        </w:rPr>
        <w:tab/>
      </w:r>
      <w:r>
        <w:rPr>
          <w:rFonts w:hint="eastAsia" w:ascii="Times New Roman" w:hAnsi="Times New Roman" w:cstheme="minorBidi"/>
          <w:sz w:val="24"/>
          <w:szCs w:val="24"/>
          <w:lang w:val="en-US" w:eastAsia="zh-CN"/>
        </w:rPr>
        <w:t>4</w:t>
      </w:r>
    </w:p>
    <w:p>
      <w:pPr>
        <w:pStyle w:val="15"/>
        <w:adjustRightInd w:val="0"/>
        <w:snapToGrid w:val="0"/>
        <w:spacing w:line="440" w:lineRule="exact"/>
        <w:jc w:val="left"/>
        <w:rPr>
          <w:rFonts w:hint="eastAsia" w:ascii="Times New Roman" w:hAnsi="Times New Roman" w:eastAsia="宋体"/>
          <w:sz w:val="24"/>
          <w:lang w:val="en-US" w:eastAsia="zh-CN"/>
        </w:rPr>
      </w:pPr>
      <w:r>
        <w:rPr>
          <w:rFonts w:hint="eastAsia" w:ascii="Times New Roman" w:hAnsi="Times New Roman"/>
          <w:sz w:val="24"/>
        </w:rPr>
        <w:t>一、部门职责</w:t>
      </w:r>
      <w:r>
        <w:rPr>
          <w:rFonts w:ascii="Times New Roman" w:hAnsi="Times New Roman" w:cstheme="minorBidi"/>
          <w:sz w:val="24"/>
        </w:rPr>
        <w:tab/>
      </w:r>
      <w:r>
        <w:rPr>
          <w:rFonts w:hint="eastAsia" w:cstheme="minorBidi"/>
          <w:sz w:val="24"/>
          <w:lang w:val="en-US" w:eastAsia="zh-CN"/>
        </w:rPr>
        <w:t>4</w:t>
      </w:r>
    </w:p>
    <w:p>
      <w:pPr>
        <w:pStyle w:val="15"/>
        <w:adjustRightInd w:val="0"/>
        <w:snapToGrid w:val="0"/>
        <w:spacing w:line="440" w:lineRule="exact"/>
        <w:jc w:val="left"/>
        <w:rPr>
          <w:rFonts w:hint="eastAsia" w:ascii="Times New Roman" w:hAnsi="Times New Roman" w:eastAsia="宋体" w:cstheme="minorBidi"/>
          <w:sz w:val="24"/>
          <w:lang w:val="en-US" w:eastAsia="zh-CN"/>
        </w:rPr>
      </w:pPr>
      <w:r>
        <w:rPr>
          <w:rFonts w:hint="eastAsia" w:ascii="Times New Roman" w:hAnsi="Times New Roman"/>
          <w:sz w:val="24"/>
        </w:rPr>
        <w:t>二、机构设置</w:t>
      </w:r>
      <w:r>
        <w:rPr>
          <w:rFonts w:ascii="Times New Roman" w:hAnsi="Times New Roman" w:cstheme="minorBidi"/>
          <w:sz w:val="24"/>
        </w:rPr>
        <w:tab/>
      </w:r>
      <w:r>
        <w:rPr>
          <w:rFonts w:hint="eastAsia" w:cstheme="minorBidi"/>
          <w:sz w:val="24"/>
          <w:lang w:val="en-US" w:eastAsia="zh-CN"/>
        </w:rPr>
        <w:t>4</w:t>
      </w:r>
    </w:p>
    <w:p>
      <w:pPr>
        <w:pStyle w:val="14"/>
        <w:adjustRightInd w:val="0"/>
        <w:snapToGrid w:val="0"/>
        <w:spacing w:before="0" w:line="440" w:lineRule="exact"/>
        <w:jc w:val="left"/>
        <w:rPr>
          <w:rFonts w:hint="default" w:ascii="Times New Roman" w:hAnsi="Times New Roman" w:eastAsia="仿宋"/>
          <w:sz w:val="24"/>
          <w:szCs w:val="24"/>
          <w:lang w:val="en-US" w:eastAsia="zh-CN"/>
        </w:rPr>
      </w:pPr>
      <w:r>
        <w:rPr>
          <w:rFonts w:hint="eastAsia" w:ascii="Times New Roman" w:hAnsi="Times New Roman"/>
          <w:sz w:val="24"/>
        </w:rPr>
        <w:t>第二部分 2022年度部门决算情况说明</w:t>
      </w:r>
      <w:r>
        <w:rPr>
          <w:rFonts w:ascii="Times New Roman" w:hAnsi="Times New Roman" w:cstheme="minorBidi"/>
          <w:sz w:val="24"/>
        </w:rPr>
        <w:tab/>
      </w:r>
      <w:r>
        <w:rPr>
          <w:rFonts w:hint="eastAsia" w:ascii="Times New Roman" w:hAnsi="Times New Roman" w:cstheme="minorBidi"/>
          <w:sz w:val="24"/>
          <w:lang w:val="en-US" w:eastAsia="zh-CN"/>
        </w:rPr>
        <w:t>5</w:t>
      </w:r>
    </w:p>
    <w:p>
      <w:pPr>
        <w:pStyle w:val="15"/>
        <w:adjustRightInd w:val="0"/>
        <w:snapToGrid w:val="0"/>
        <w:spacing w:line="440" w:lineRule="exact"/>
        <w:jc w:val="left"/>
        <w:rPr>
          <w:rFonts w:hint="default" w:ascii="Times New Roman" w:hAnsi="Times New Roman" w:eastAsia="宋体" w:cstheme="minorBidi"/>
          <w:sz w:val="24"/>
          <w:lang w:val="en-US" w:eastAsia="zh-CN"/>
        </w:rPr>
      </w:pPr>
      <w:r>
        <w:rPr>
          <w:rFonts w:hint="eastAsia" w:ascii="Times New Roman" w:hAnsi="Times New Roman"/>
          <w:sz w:val="24"/>
        </w:rPr>
        <w:t>一、收入支出决算总体情况说明</w:t>
      </w:r>
      <w:r>
        <w:rPr>
          <w:rFonts w:ascii="Times New Roman" w:hAnsi="Times New Roman" w:cstheme="minorBidi"/>
          <w:sz w:val="24"/>
        </w:rPr>
        <w:tab/>
      </w:r>
      <w:r>
        <w:rPr>
          <w:rFonts w:hint="eastAsia" w:cstheme="minorBidi"/>
          <w:sz w:val="24"/>
          <w:lang w:val="en-US" w:eastAsia="zh-CN"/>
        </w:rPr>
        <w:t>5</w:t>
      </w:r>
    </w:p>
    <w:p>
      <w:pPr>
        <w:pStyle w:val="15"/>
        <w:adjustRightInd w:val="0"/>
        <w:snapToGrid w:val="0"/>
        <w:spacing w:line="440" w:lineRule="exact"/>
        <w:jc w:val="left"/>
        <w:rPr>
          <w:rFonts w:hint="default" w:ascii="Times New Roman" w:hAnsi="Times New Roman" w:eastAsia="宋体" w:cstheme="minorBidi"/>
          <w:sz w:val="24"/>
          <w:lang w:val="en-US" w:eastAsia="zh-CN"/>
        </w:rPr>
      </w:pPr>
      <w:r>
        <w:rPr>
          <w:rFonts w:hint="eastAsia" w:ascii="Times New Roman" w:hAnsi="Times New Roman"/>
          <w:sz w:val="24"/>
        </w:rPr>
        <w:t>二、收入决算情况说明</w:t>
      </w:r>
      <w:r>
        <w:rPr>
          <w:rFonts w:ascii="Times New Roman" w:hAnsi="Times New Roman" w:cstheme="minorBidi"/>
          <w:sz w:val="24"/>
        </w:rPr>
        <w:tab/>
      </w:r>
      <w:r>
        <w:rPr>
          <w:rFonts w:hint="eastAsia" w:cstheme="minorBidi"/>
          <w:sz w:val="24"/>
          <w:lang w:val="en-US" w:eastAsia="zh-CN"/>
        </w:rPr>
        <w:t>5</w:t>
      </w:r>
    </w:p>
    <w:p>
      <w:pPr>
        <w:pStyle w:val="15"/>
        <w:adjustRightInd w:val="0"/>
        <w:snapToGrid w:val="0"/>
        <w:spacing w:line="440" w:lineRule="exact"/>
        <w:jc w:val="left"/>
        <w:rPr>
          <w:rFonts w:hint="default" w:ascii="Times New Roman" w:hAnsi="Times New Roman" w:eastAsia="宋体" w:cstheme="minorBidi"/>
          <w:sz w:val="24"/>
          <w:lang w:val="en-US" w:eastAsia="zh-CN"/>
        </w:rPr>
      </w:pPr>
      <w:r>
        <w:rPr>
          <w:rFonts w:hint="eastAsia" w:ascii="Times New Roman" w:hAnsi="Times New Roman"/>
          <w:sz w:val="24"/>
        </w:rPr>
        <w:t>三、支出决算情况说明</w:t>
      </w:r>
      <w:r>
        <w:rPr>
          <w:rFonts w:ascii="Times New Roman" w:hAnsi="Times New Roman" w:cstheme="minorBidi"/>
          <w:sz w:val="24"/>
        </w:rPr>
        <w:tab/>
      </w:r>
      <w:r>
        <w:rPr>
          <w:rFonts w:hint="eastAsia" w:cstheme="minorBidi"/>
          <w:sz w:val="24"/>
          <w:lang w:val="en-US" w:eastAsia="zh-CN"/>
        </w:rPr>
        <w:t>6</w:t>
      </w:r>
    </w:p>
    <w:p>
      <w:pPr>
        <w:pStyle w:val="15"/>
        <w:adjustRightInd w:val="0"/>
        <w:snapToGrid w:val="0"/>
        <w:spacing w:line="440" w:lineRule="exact"/>
        <w:jc w:val="left"/>
        <w:rPr>
          <w:rFonts w:hint="eastAsia" w:ascii="Times New Roman" w:hAnsi="Times New Roman" w:eastAsia="宋体" w:cstheme="minorBidi"/>
          <w:sz w:val="24"/>
          <w:lang w:val="en-US" w:eastAsia="zh-CN"/>
        </w:rPr>
      </w:pPr>
      <w:r>
        <w:rPr>
          <w:rFonts w:hint="eastAsia" w:ascii="Times New Roman" w:hAnsi="Times New Roman"/>
          <w:sz w:val="24"/>
        </w:rPr>
        <w:t>四、财政拨款收入支出决算总体情况说明</w:t>
      </w:r>
      <w:r>
        <w:rPr>
          <w:rFonts w:ascii="Times New Roman" w:hAnsi="Times New Roman" w:cstheme="minorBidi"/>
          <w:sz w:val="24"/>
        </w:rPr>
        <w:tab/>
      </w:r>
      <w:r>
        <w:rPr>
          <w:rFonts w:hint="eastAsia" w:cstheme="minorBidi"/>
          <w:sz w:val="24"/>
          <w:lang w:val="en-US" w:eastAsia="zh-CN"/>
        </w:rPr>
        <w:t>7</w:t>
      </w:r>
    </w:p>
    <w:p>
      <w:pPr>
        <w:pStyle w:val="15"/>
        <w:adjustRightInd w:val="0"/>
        <w:snapToGrid w:val="0"/>
        <w:spacing w:line="440" w:lineRule="exact"/>
        <w:jc w:val="left"/>
        <w:rPr>
          <w:rFonts w:hint="default" w:ascii="Times New Roman" w:hAnsi="Times New Roman" w:eastAsia="宋体" w:cstheme="minorBidi"/>
          <w:sz w:val="24"/>
          <w:lang w:val="en-US" w:eastAsia="zh-CN"/>
        </w:rPr>
      </w:pPr>
      <w:r>
        <w:rPr>
          <w:rFonts w:hint="eastAsia" w:ascii="Times New Roman" w:hAnsi="Times New Roman"/>
          <w:sz w:val="24"/>
        </w:rPr>
        <w:t>五、一般公共预算财政拨款支出决算情况说明</w:t>
      </w:r>
      <w:r>
        <w:rPr>
          <w:rFonts w:ascii="Times New Roman" w:hAnsi="Times New Roman" w:cstheme="minorBidi"/>
          <w:sz w:val="24"/>
        </w:rPr>
        <w:tab/>
      </w:r>
      <w:r>
        <w:rPr>
          <w:rFonts w:hint="eastAsia" w:cstheme="minorBidi"/>
          <w:sz w:val="24"/>
          <w:lang w:val="en-US" w:eastAsia="zh-CN"/>
        </w:rPr>
        <w:t>7</w:t>
      </w:r>
    </w:p>
    <w:p>
      <w:pPr>
        <w:pStyle w:val="15"/>
        <w:adjustRightInd w:val="0"/>
        <w:snapToGrid w:val="0"/>
        <w:spacing w:line="440" w:lineRule="exact"/>
        <w:jc w:val="left"/>
        <w:rPr>
          <w:rFonts w:hint="default" w:ascii="Times New Roman" w:hAnsi="Times New Roman" w:eastAsia="宋体" w:cstheme="minorBidi"/>
          <w:sz w:val="24"/>
          <w:lang w:val="en-US" w:eastAsia="zh-CN"/>
        </w:rPr>
      </w:pPr>
      <w:r>
        <w:rPr>
          <w:rFonts w:hint="eastAsia" w:ascii="Times New Roman" w:hAnsi="Times New Roman"/>
          <w:sz w:val="24"/>
        </w:rPr>
        <w:t>六、一般公共预算财政拨款基本支出决算情况说明</w:t>
      </w:r>
      <w:r>
        <w:rPr>
          <w:rFonts w:ascii="Times New Roman" w:hAnsi="Times New Roman" w:cstheme="minorBidi"/>
          <w:sz w:val="24"/>
        </w:rPr>
        <w:tab/>
      </w:r>
      <w:r>
        <w:rPr>
          <w:rFonts w:hint="eastAsia" w:cstheme="minorBidi"/>
          <w:sz w:val="24"/>
          <w:lang w:val="en-US" w:eastAsia="zh-CN"/>
        </w:rPr>
        <w:t>10</w:t>
      </w:r>
    </w:p>
    <w:p>
      <w:pPr>
        <w:pStyle w:val="15"/>
        <w:adjustRightInd w:val="0"/>
        <w:snapToGrid w:val="0"/>
        <w:spacing w:line="440" w:lineRule="exact"/>
        <w:jc w:val="left"/>
        <w:rPr>
          <w:rFonts w:hint="default" w:ascii="Times New Roman" w:hAnsi="Times New Roman" w:eastAsia="宋体" w:cstheme="minorBidi"/>
          <w:sz w:val="24"/>
          <w:lang w:val="en-US" w:eastAsia="zh-CN"/>
        </w:rPr>
      </w:pPr>
      <w:r>
        <w:rPr>
          <w:rFonts w:hint="eastAsia" w:ascii="Times New Roman" w:hAnsi="Times New Roman"/>
          <w:sz w:val="24"/>
        </w:rPr>
        <w:t>七、财政拨款“三公”经费支出决算情况说明</w:t>
      </w:r>
      <w:r>
        <w:rPr>
          <w:rFonts w:ascii="Times New Roman" w:hAnsi="Times New Roman" w:cstheme="minorBidi"/>
          <w:sz w:val="24"/>
        </w:rPr>
        <w:tab/>
      </w:r>
      <w:r>
        <w:rPr>
          <w:rFonts w:hint="eastAsia" w:cstheme="minorBidi"/>
          <w:sz w:val="24"/>
          <w:lang w:val="en-US" w:eastAsia="zh-CN"/>
        </w:rPr>
        <w:t>11</w:t>
      </w:r>
    </w:p>
    <w:p>
      <w:pPr>
        <w:pStyle w:val="15"/>
        <w:adjustRightInd w:val="0"/>
        <w:snapToGrid w:val="0"/>
        <w:spacing w:line="440" w:lineRule="exact"/>
        <w:jc w:val="left"/>
        <w:rPr>
          <w:rFonts w:hint="default" w:ascii="Times New Roman" w:hAnsi="Times New Roman" w:eastAsia="宋体" w:cstheme="minorBidi"/>
          <w:sz w:val="24"/>
          <w:lang w:val="en-US" w:eastAsia="zh-CN"/>
        </w:rPr>
      </w:pPr>
      <w:r>
        <w:rPr>
          <w:rFonts w:hint="eastAsia" w:ascii="Times New Roman" w:hAnsi="Times New Roman"/>
          <w:sz w:val="24"/>
        </w:rPr>
        <w:t>八、政府性基金预算支出决算情况说明</w:t>
      </w:r>
      <w:r>
        <w:rPr>
          <w:rFonts w:ascii="Times New Roman" w:hAnsi="Times New Roman" w:cstheme="minorBidi"/>
          <w:sz w:val="24"/>
        </w:rPr>
        <w:tab/>
      </w:r>
      <w:r>
        <w:rPr>
          <w:rFonts w:hint="eastAsia" w:cstheme="minorBidi"/>
          <w:sz w:val="24"/>
          <w:lang w:val="en-US" w:eastAsia="zh-CN"/>
        </w:rPr>
        <w:t>14</w:t>
      </w:r>
    </w:p>
    <w:p>
      <w:pPr>
        <w:pStyle w:val="15"/>
        <w:adjustRightInd w:val="0"/>
        <w:snapToGrid w:val="0"/>
        <w:spacing w:line="440" w:lineRule="exact"/>
        <w:ind w:leftChars="0"/>
        <w:jc w:val="left"/>
        <w:rPr>
          <w:rFonts w:hint="default" w:ascii="Times New Roman" w:hAnsi="Times New Roman" w:eastAsia="宋体" w:cstheme="minorEastAsia"/>
          <w:sz w:val="24"/>
          <w:lang w:val="en-US" w:eastAsia="zh-CN"/>
        </w:rPr>
      </w:pPr>
      <w:r>
        <w:rPr>
          <w:rFonts w:hint="eastAsia" w:ascii="Times New Roman" w:hAnsi="Times New Roman" w:eastAsiaTheme="minorEastAsia" w:cstheme="minorEastAsia"/>
          <w:sz w:val="24"/>
        </w:rPr>
        <w:t>九、国有资本经营预算支出决算情况说明</w:t>
      </w:r>
      <w:r>
        <w:rPr>
          <w:rFonts w:ascii="Times New Roman" w:hAnsi="Times New Roman" w:cstheme="minorBidi"/>
          <w:sz w:val="24"/>
        </w:rPr>
        <w:tab/>
      </w:r>
      <w:r>
        <w:rPr>
          <w:rFonts w:hint="eastAsia" w:cstheme="minorBidi"/>
          <w:sz w:val="24"/>
          <w:lang w:val="en-US" w:eastAsia="zh-CN"/>
        </w:rPr>
        <w:t>14</w:t>
      </w:r>
    </w:p>
    <w:p>
      <w:pPr>
        <w:adjustRightInd w:val="0"/>
        <w:snapToGrid w:val="0"/>
        <w:spacing w:line="440" w:lineRule="exact"/>
        <w:ind w:firstLine="420" w:firstLineChars="175"/>
        <w:jc w:val="left"/>
        <w:rPr>
          <w:rFonts w:hint="default" w:ascii="Times New Roman" w:hAnsi="Times New Roman" w:eastAsiaTheme="minorEastAsia" w:cstheme="minorEastAsia"/>
          <w:sz w:val="24"/>
          <w:lang w:val="en-US" w:eastAsia="zh-CN"/>
        </w:rPr>
      </w:pPr>
      <w:r>
        <w:rPr>
          <w:rStyle w:val="21"/>
          <w:rFonts w:hint="eastAsia" w:ascii="Times New Roman" w:hAnsi="Times New Roman" w:eastAsiaTheme="minorEastAsia" w:cstheme="minorEastAsia"/>
          <w:color w:val="auto"/>
          <w:sz w:val="24"/>
          <w:u w:val="none"/>
        </w:rPr>
        <w:t>十、</w:t>
      </w:r>
      <w:r>
        <w:rPr>
          <w:rFonts w:hint="eastAsia" w:ascii="Times New Roman" w:hAnsi="Times New Roman" w:eastAsiaTheme="minorEastAsia" w:cstheme="minorEastAsia"/>
          <w:sz w:val="24"/>
        </w:rPr>
        <w:t>其他重要事项的情况说明</w:t>
      </w:r>
      <w:r>
        <w:rPr>
          <w:rFonts w:hint="eastAsia" w:eastAsiaTheme="minorEastAsia" w:cstheme="minorEastAsia"/>
          <w:sz w:val="24"/>
          <w:lang w:val="en-US" w:eastAsia="zh-CN"/>
        </w:rPr>
        <w:t>...........................................................................14</w:t>
      </w:r>
    </w:p>
    <w:p>
      <w:pPr>
        <w:pStyle w:val="14"/>
        <w:adjustRightInd w:val="0"/>
        <w:snapToGrid w:val="0"/>
        <w:spacing w:before="0" w:line="440" w:lineRule="exact"/>
        <w:jc w:val="left"/>
        <w:rPr>
          <w:rFonts w:hint="default" w:ascii="Times New Roman" w:hAnsi="Times New Roman" w:eastAsia="仿宋" w:cstheme="minorBidi"/>
          <w:sz w:val="24"/>
          <w:szCs w:val="24"/>
          <w:lang w:val="en-US" w:eastAsia="zh-CN"/>
        </w:rPr>
      </w:pPr>
      <w:r>
        <w:rPr>
          <w:rFonts w:hint="eastAsia" w:ascii="Times New Roman" w:hAnsi="Times New Roman"/>
          <w:sz w:val="24"/>
        </w:rPr>
        <w:t>第三部分</w:t>
      </w:r>
      <w:r>
        <w:rPr>
          <w:rFonts w:ascii="Times New Roman" w:hAnsi="Times New Roman"/>
          <w:sz w:val="24"/>
        </w:rPr>
        <w:t xml:space="preserve"> </w:t>
      </w:r>
      <w:r>
        <w:rPr>
          <w:rFonts w:hint="eastAsia" w:ascii="Times New Roman" w:hAnsi="Times New Roman"/>
          <w:sz w:val="24"/>
        </w:rPr>
        <w:t>名词解释</w:t>
      </w:r>
      <w:r>
        <w:rPr>
          <w:rFonts w:ascii="Times New Roman" w:hAnsi="Times New Roman" w:cstheme="minorBidi"/>
          <w:sz w:val="24"/>
        </w:rPr>
        <w:tab/>
      </w:r>
      <w:r>
        <w:rPr>
          <w:rFonts w:hint="eastAsia" w:ascii="Times New Roman" w:hAnsi="Times New Roman" w:cstheme="minorBidi"/>
          <w:sz w:val="24"/>
          <w:lang w:val="en-US" w:eastAsia="zh-CN"/>
        </w:rPr>
        <w:t>17</w:t>
      </w:r>
    </w:p>
    <w:p>
      <w:pPr>
        <w:pStyle w:val="14"/>
        <w:adjustRightInd w:val="0"/>
        <w:snapToGrid w:val="0"/>
        <w:spacing w:before="0" w:line="440" w:lineRule="exact"/>
        <w:jc w:val="left"/>
        <w:rPr>
          <w:rFonts w:hint="default" w:ascii="Times New Roman" w:hAnsi="Times New Roman" w:eastAsia="仿宋" w:cstheme="minorBidi"/>
          <w:sz w:val="24"/>
          <w:szCs w:val="24"/>
          <w:lang w:val="en-US" w:eastAsia="zh-CN"/>
        </w:rPr>
      </w:pPr>
      <w:r>
        <w:rPr>
          <w:rFonts w:hint="eastAsia" w:ascii="Times New Roman" w:hAnsi="Times New Roman"/>
          <w:sz w:val="24"/>
        </w:rPr>
        <w:t>第四部分</w:t>
      </w:r>
      <w:r>
        <w:rPr>
          <w:rFonts w:ascii="Times New Roman" w:hAnsi="Times New Roman"/>
          <w:sz w:val="24"/>
        </w:rPr>
        <w:t xml:space="preserve"> </w:t>
      </w:r>
      <w:r>
        <w:rPr>
          <w:rFonts w:hint="eastAsia" w:ascii="Times New Roman" w:hAnsi="Times New Roman"/>
          <w:sz w:val="24"/>
        </w:rPr>
        <w:t>附件</w:t>
      </w:r>
      <w:r>
        <w:rPr>
          <w:rFonts w:ascii="Times New Roman" w:hAnsi="Times New Roman" w:cstheme="minorBidi"/>
          <w:sz w:val="24"/>
        </w:rPr>
        <w:tab/>
      </w:r>
      <w:r>
        <w:rPr>
          <w:rFonts w:hint="eastAsia" w:ascii="Times New Roman" w:hAnsi="Times New Roman" w:cstheme="minorBidi"/>
          <w:sz w:val="24"/>
          <w:lang w:val="en-US" w:eastAsia="zh-CN"/>
        </w:rPr>
        <w:t>21</w:t>
      </w:r>
    </w:p>
    <w:p>
      <w:pPr>
        <w:pStyle w:val="14"/>
        <w:adjustRightInd w:val="0"/>
        <w:snapToGrid w:val="0"/>
        <w:spacing w:before="0" w:line="440" w:lineRule="exact"/>
        <w:jc w:val="left"/>
        <w:rPr>
          <w:rFonts w:hint="default" w:ascii="Times New Roman" w:hAnsi="Times New Roman" w:eastAsia="仿宋" w:cstheme="minorBidi"/>
          <w:sz w:val="24"/>
          <w:szCs w:val="24"/>
          <w:lang w:val="en-US" w:eastAsia="zh-CN"/>
        </w:rPr>
      </w:pPr>
      <w:r>
        <w:rPr>
          <w:rFonts w:hint="eastAsia" w:ascii="Times New Roman" w:hAnsi="Times New Roman"/>
          <w:sz w:val="24"/>
        </w:rPr>
        <w:t>第五部分</w:t>
      </w:r>
      <w:r>
        <w:rPr>
          <w:rFonts w:ascii="Times New Roman" w:hAnsi="Times New Roman"/>
          <w:sz w:val="24"/>
        </w:rPr>
        <w:t xml:space="preserve"> </w:t>
      </w:r>
      <w:r>
        <w:rPr>
          <w:rFonts w:hint="eastAsia" w:ascii="Times New Roman" w:hAnsi="Times New Roman"/>
          <w:sz w:val="24"/>
        </w:rPr>
        <w:t>附表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一、收入支出决算总表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二、收入决算表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三、支出决算表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四、财政拨款收入支出决算总表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五、财政拨款支出决算明细表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六、一般公共预算财政拨款支出决算表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七、一般公共预算财政拨款支出决算明细表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八、一般公共预算财政拨款基本支出决算明细表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九、一般公共预算财政拨款项目支出决算表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十、政府性基金预算财政拨款收入支出决算表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十一、国有资本经营预算财政拨款收入支出决算表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sz w:val="24"/>
          <w:lang w:val="en-US" w:eastAsia="zh-CN"/>
        </w:rPr>
      </w:pPr>
      <w:r>
        <w:rPr>
          <w:rFonts w:hint="eastAsia" w:ascii="Times New Roman" w:hAnsi="Times New Roman"/>
          <w:sz w:val="24"/>
        </w:rPr>
        <w:t>十二、国有资本经营预算财政拨款支出决算表</w:t>
      </w:r>
      <w:r>
        <w:rPr>
          <w:rFonts w:ascii="Times New Roman" w:hAnsi="Times New Roman" w:cstheme="minorBidi"/>
          <w:sz w:val="24"/>
        </w:rPr>
        <w:tab/>
      </w:r>
      <w:r>
        <w:rPr>
          <w:rFonts w:hint="eastAsia" w:ascii="Times New Roman" w:hAnsi="Times New Roman" w:cstheme="minorBidi"/>
          <w:sz w:val="24"/>
          <w:lang w:val="en-US" w:eastAsia="zh-CN"/>
        </w:rPr>
        <w:t>37</w:t>
      </w:r>
    </w:p>
    <w:p>
      <w:pPr>
        <w:pStyle w:val="15"/>
        <w:adjustRightInd w:val="0"/>
        <w:snapToGrid w:val="0"/>
        <w:spacing w:line="440" w:lineRule="exact"/>
        <w:jc w:val="left"/>
        <w:rPr>
          <w:rFonts w:hint="default" w:ascii="Times New Roman" w:hAnsi="Times New Roman" w:eastAsia="宋体" w:cstheme="minorEastAsia"/>
          <w:sz w:val="24"/>
          <w:lang w:val="en-US" w:eastAsia="zh-CN"/>
        </w:rPr>
      </w:pPr>
      <w:r>
        <w:rPr>
          <w:rFonts w:hint="eastAsia" w:ascii="Times New Roman" w:hAnsi="Times New Roman"/>
          <w:sz w:val="24"/>
        </w:rPr>
        <w:t>十三、财政拨款“三公”经费支出决算表</w:t>
      </w:r>
      <w:r>
        <w:rPr>
          <w:rFonts w:ascii="Times New Roman" w:hAnsi="Times New Roman" w:cstheme="minorBidi"/>
          <w:sz w:val="24"/>
        </w:rPr>
        <w:tab/>
      </w:r>
      <w:r>
        <w:rPr>
          <w:rFonts w:hint="eastAsia" w:ascii="Times New Roman" w:hAnsi="Times New Roman" w:cstheme="minorBidi"/>
          <w:sz w:val="24"/>
          <w:lang w:val="en-US" w:eastAsia="zh-CN"/>
        </w:rPr>
        <w:t>37</w:t>
      </w:r>
    </w:p>
    <w:p>
      <w:pPr>
        <w:widowControl/>
        <w:spacing w:line="440" w:lineRule="exact"/>
        <w:jc w:val="left"/>
        <w:rPr>
          <w:rFonts w:ascii="Times New Roman" w:hAnsi="Times New Roman" w:eastAsia="仿宋"/>
          <w:b/>
          <w:sz w:val="24"/>
        </w:rPr>
      </w:pPr>
      <w:bookmarkStart w:id="12" w:name="_Toc15396599"/>
      <w:bookmarkStart w:id="13" w:name="_Toc15377196"/>
      <w:r>
        <w:rPr>
          <w:rFonts w:ascii="Times New Roman" w:hAnsi="Times New Roman" w:eastAsia="仿宋"/>
          <w:b/>
          <w:sz w:val="24"/>
        </w:rPr>
        <w:br w:type="page"/>
      </w:r>
    </w:p>
    <w:p>
      <w:pPr>
        <w:pStyle w:val="2"/>
        <w:rPr>
          <w:rFonts w:ascii="Times New Roman" w:hAnsi="Times New Roman" w:eastAsia="仿宋"/>
          <w:b/>
          <w:sz w:val="24"/>
        </w:rPr>
      </w:pPr>
    </w:p>
    <w:p>
      <w:pPr>
        <w:pStyle w:val="3"/>
        <w:rPr>
          <w:rFonts w:ascii="Times New Roman" w:hAnsi="Times New Roman" w:eastAsia="仿宋"/>
          <w:b/>
          <w:sz w:val="24"/>
        </w:rPr>
      </w:pPr>
    </w:p>
    <w:p>
      <w:pPr>
        <w:pStyle w:val="3"/>
        <w:rPr>
          <w:rFonts w:ascii="Times New Roman" w:hAnsi="Times New Roman" w:eastAsia="仿宋"/>
          <w:b/>
          <w:sz w:val="24"/>
        </w:rPr>
      </w:pPr>
    </w:p>
    <w:p>
      <w:pPr>
        <w:pStyle w:val="4"/>
        <w:numPr>
          <w:ilvl w:val="0"/>
          <w:numId w:val="1"/>
        </w:numPr>
        <w:jc w:val="center"/>
        <w:rPr>
          <w:rFonts w:ascii="Times New Roman" w:hAnsi="Times New Roman"/>
        </w:rPr>
      </w:pPr>
      <w:r>
        <w:rPr>
          <w:rStyle w:val="32"/>
          <w:rFonts w:hint="eastAsia" w:ascii="Times New Roman" w:hAnsi="Times New Roman" w:eastAsia="黑体"/>
          <w:b w:val="0"/>
          <w:bCs w:val="0"/>
        </w:rPr>
        <w:t>部门概况</w:t>
      </w:r>
      <w:bookmarkEnd w:id="12"/>
      <w:bookmarkEnd w:id="13"/>
    </w:p>
    <w:p/>
    <w:p>
      <w:pPr>
        <w:pStyle w:val="5"/>
        <w:numPr>
          <w:ilvl w:val="0"/>
          <w:numId w:val="2"/>
        </w:numPr>
        <w:rPr>
          <w:rFonts w:ascii="Times New Roman" w:hAnsi="Times New Roman" w:eastAsia="黑体"/>
          <w:b w:val="0"/>
        </w:rPr>
      </w:pPr>
      <w:r>
        <w:rPr>
          <w:rFonts w:hint="eastAsia" w:ascii="Times New Roman" w:hAnsi="Times New Roman" w:eastAsia="黑体"/>
          <w:b w:val="0"/>
        </w:rPr>
        <w:t>部门职责</w:t>
      </w:r>
    </w:p>
    <w:p>
      <w:pPr>
        <w:adjustRightInd w:val="0"/>
        <w:snapToGrid w:val="0"/>
        <w:spacing w:line="300" w:lineRule="auto"/>
        <w:ind w:firstLine="420" w:firstLineChars="200"/>
        <w:rPr>
          <w:rFonts w:hint="eastAsia" w:ascii="Times New Roman" w:hAnsi="Times New Roman" w:eastAsia="仿宋_GB2312"/>
          <w:color w:val="auto"/>
          <w:sz w:val="32"/>
          <w:szCs w:val="32"/>
          <w:highlight w:val="none"/>
        </w:rPr>
      </w:pPr>
      <w:r>
        <w:rPr>
          <w:rFonts w:hint="eastAsia" w:ascii="Times New Roman" w:hAnsi="Times New Roman"/>
          <w:lang w:val="en-US" w:eastAsia="zh-CN"/>
        </w:rPr>
        <w:t xml:space="preserve"> </w:t>
      </w:r>
      <w:r>
        <w:rPr>
          <w:rFonts w:hint="eastAsia" w:ascii="Times New Roman" w:hAnsi="Times New Roman" w:eastAsia="仿宋_GB2312"/>
          <w:color w:val="auto"/>
          <w:sz w:val="32"/>
          <w:szCs w:val="32"/>
          <w:highlight w:val="none"/>
        </w:rPr>
        <w:t>围绕我市地方经济发展，承担农业、林业、水利等方面科学技术研究及技术推广应用工作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为全市“三农”提供科技支撑和智力支持。</w:t>
      </w:r>
    </w:p>
    <w:p>
      <w:pPr>
        <w:pStyle w:val="5"/>
        <w:rPr>
          <w:rFonts w:hint="eastAsia" w:ascii="Times New Roman" w:hAnsi="Times New Roman" w:eastAsia="仿宋"/>
          <w:sz w:val="32"/>
          <w:szCs w:val="32"/>
          <w:lang w:eastAsia="zh-CN"/>
        </w:rPr>
      </w:pPr>
      <w:bookmarkStart w:id="14" w:name="_Toc15377200"/>
      <w:bookmarkStart w:id="15" w:name="_Toc15396601"/>
      <w:r>
        <w:rPr>
          <w:rFonts w:hint="eastAsia" w:ascii="Times New Roman" w:hAnsi="Times New Roman" w:eastAsia="黑体"/>
          <w:b w:val="0"/>
        </w:rPr>
        <w:t>二、机</w:t>
      </w:r>
      <w:r>
        <w:rPr>
          <w:rStyle w:val="33"/>
          <w:rFonts w:hint="eastAsia" w:ascii="Times New Roman" w:hAnsi="Times New Roman" w:eastAsia="黑体"/>
          <w:b w:val="0"/>
          <w:bCs w:val="0"/>
        </w:rPr>
        <w:t>构设置</w:t>
      </w:r>
      <w:bookmarkEnd w:id="14"/>
      <w:bookmarkEnd w:id="15"/>
    </w:p>
    <w:p>
      <w:pPr>
        <w:ind w:firstLine="800" w:firstLineChars="250"/>
        <w:rPr>
          <w:rFonts w:ascii="仿宋" w:hAnsi="仿宋" w:eastAsia="仿宋"/>
          <w:sz w:val="32"/>
          <w:szCs w:val="32"/>
        </w:rPr>
      </w:pPr>
      <w:r>
        <w:rPr>
          <w:rFonts w:hint="eastAsia" w:ascii="Times New Roman" w:hAnsi="Times New Roman" w:eastAsia="仿宋_GB2312"/>
          <w:color w:val="auto"/>
          <w:sz w:val="32"/>
          <w:szCs w:val="32"/>
          <w:highlight w:val="none"/>
          <w:lang w:val="en-US" w:eastAsia="zh-CN"/>
        </w:rPr>
        <w:t>市农林科学院</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adjustRightInd w:val="0"/>
        <w:snapToGrid w:val="0"/>
        <w:spacing w:before="93" w:line="600" w:lineRule="exact"/>
        <w:ind w:firstLine="672" w:firstLineChars="210"/>
        <w:rPr>
          <w:rFonts w:hint="eastAsia" w:ascii="仿宋" w:hAnsi="仿宋" w:eastAsia="仿宋"/>
          <w:sz w:val="32"/>
          <w:szCs w:val="32"/>
          <w:lang w:eastAsia="zh-CN"/>
        </w:rPr>
      </w:pPr>
      <w:r>
        <w:rPr>
          <w:rFonts w:hint="eastAsia" w:ascii="仿宋" w:hAnsi="仿宋" w:eastAsia="仿宋"/>
          <w:sz w:val="32"/>
          <w:szCs w:val="32"/>
        </w:rPr>
        <w:t>纳入</w:t>
      </w:r>
      <w:r>
        <w:rPr>
          <w:rFonts w:hint="eastAsia" w:ascii="Times New Roman" w:hAnsi="Times New Roman" w:eastAsia="仿宋_GB2312"/>
          <w:color w:val="auto"/>
          <w:sz w:val="32"/>
          <w:szCs w:val="32"/>
          <w:highlight w:val="none"/>
          <w:lang w:val="en-US" w:eastAsia="zh-CN"/>
        </w:rPr>
        <w:t>市农林科学院</w:t>
      </w:r>
      <w:r>
        <w:rPr>
          <w:rFonts w:hint="eastAsia" w:ascii="仿宋" w:hAnsi="仿宋" w:eastAsia="仿宋"/>
          <w:sz w:val="32"/>
          <w:szCs w:val="32"/>
        </w:rPr>
        <w:t>2022年度部门决算编制范围的二级预算单位包括：</w:t>
      </w:r>
      <w:r>
        <w:rPr>
          <w:rFonts w:hint="eastAsia" w:ascii="仿宋" w:hAnsi="仿宋" w:eastAsia="仿宋"/>
          <w:sz w:val="32"/>
          <w:szCs w:val="32"/>
          <w:lang w:eastAsia="zh-CN"/>
        </w:rPr>
        <w:t>无</w:t>
      </w:r>
    </w:p>
    <w:p>
      <w:pPr>
        <w:adjustRightInd w:val="0"/>
        <w:snapToGrid w:val="0"/>
        <w:spacing w:line="300" w:lineRule="auto"/>
        <w:ind w:firstLine="640" w:firstLineChars="200"/>
        <w:rPr>
          <w:rFonts w:hint="eastAsia" w:ascii="Times New Roman" w:hAnsi="Times New Roman" w:eastAsia="仿宋_GB2312"/>
          <w:color w:val="auto"/>
          <w:sz w:val="32"/>
          <w:szCs w:val="32"/>
          <w:highlight w:val="none"/>
          <w:lang w:val="en-US" w:eastAsia="zh-CN"/>
        </w:rPr>
      </w:pPr>
    </w:p>
    <w:p>
      <w:pPr>
        <w:pStyle w:val="2"/>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3"/>
        <w:rPr>
          <w:rFonts w:hint="eastAsia" w:ascii="Times New Roman" w:hAnsi="Times New Roman" w:eastAsia="仿宋_GB2312"/>
          <w:color w:val="auto"/>
          <w:sz w:val="32"/>
          <w:szCs w:val="32"/>
          <w:highlight w:val="none"/>
          <w:lang w:val="en-US" w:eastAsia="zh-CN"/>
        </w:rPr>
      </w:pPr>
    </w:p>
    <w:p>
      <w:pPr>
        <w:pStyle w:val="4"/>
        <w:ind w:right="440"/>
        <w:jc w:val="center"/>
        <w:rPr>
          <w:rFonts w:ascii="Times New Roman" w:hAnsi="Times New Roman"/>
        </w:rPr>
      </w:pPr>
      <w:bookmarkStart w:id="16" w:name="_Toc15396602"/>
      <w:bookmarkStart w:id="17" w:name="_Toc15377204"/>
      <w:r>
        <w:rPr>
          <w:rFonts w:hint="eastAsia" w:ascii="Times New Roman" w:hAnsi="Times New Roman" w:eastAsia="黑体"/>
          <w:b w:val="0"/>
        </w:rPr>
        <w:t>第二部分 2022年度</w:t>
      </w:r>
      <w:r>
        <w:rPr>
          <w:rStyle w:val="32"/>
          <w:rFonts w:hint="eastAsia" w:ascii="Times New Roman" w:hAnsi="Times New Roman" w:eastAsia="黑体"/>
          <w:b w:val="0"/>
          <w:bCs/>
        </w:rPr>
        <w:t>部门决算情况说明</w:t>
      </w:r>
      <w:bookmarkEnd w:id="16"/>
      <w:bookmarkEnd w:id="17"/>
    </w:p>
    <w:p>
      <w:pPr>
        <w:pStyle w:val="31"/>
        <w:numPr>
          <w:ilvl w:val="0"/>
          <w:numId w:val="3"/>
        </w:numPr>
        <w:spacing w:line="600" w:lineRule="exact"/>
        <w:ind w:left="1350" w:leftChars="0" w:firstLineChars="0"/>
        <w:outlineLvl w:val="1"/>
        <w:rPr>
          <w:rStyle w:val="33"/>
          <w:rFonts w:ascii="Times New Roman" w:hAnsi="Times New Roman" w:eastAsia="黑体"/>
          <w:b w:val="0"/>
        </w:rPr>
      </w:pPr>
      <w:bookmarkStart w:id="18" w:name="_Toc15396603"/>
      <w:bookmarkStart w:id="19" w:name="_Toc15377205"/>
      <w:r>
        <w:rPr>
          <w:rFonts w:hint="eastAsia" w:ascii="Times New Roman" w:hAnsi="Times New Roman" w:eastAsia="黑体"/>
          <w:sz w:val="32"/>
          <w:szCs w:val="32"/>
        </w:rPr>
        <w:t>收</w:t>
      </w:r>
      <w:r>
        <w:rPr>
          <w:rStyle w:val="33"/>
          <w:rFonts w:hint="eastAsia" w:ascii="Times New Roman" w:hAnsi="Times New Roman" w:eastAsia="黑体"/>
          <w:b w:val="0"/>
        </w:rPr>
        <w:t>入支出决算总体情况说明</w:t>
      </w:r>
      <w:bookmarkEnd w:id="18"/>
      <w:bookmarkEnd w:id="19"/>
    </w:p>
    <w:p>
      <w:pPr>
        <w:spacing w:line="60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2022年度收、支总计</w:t>
      </w:r>
      <w:r>
        <w:rPr>
          <w:rFonts w:hint="eastAsia" w:ascii="Times New Roman" w:hAnsi="Times New Roman" w:eastAsia="仿宋"/>
          <w:sz w:val="32"/>
          <w:szCs w:val="32"/>
          <w:lang w:val="en-US" w:eastAsia="zh-CN"/>
        </w:rPr>
        <w:t>3853.13</w:t>
      </w:r>
      <w:r>
        <w:rPr>
          <w:rFonts w:hint="eastAsia" w:ascii="Times New Roman" w:hAnsi="Times New Roman" w:eastAsia="仿宋"/>
          <w:sz w:val="32"/>
          <w:szCs w:val="32"/>
        </w:rPr>
        <w:t>万元。与2021年相比，收、支总计各</w:t>
      </w:r>
      <w:r>
        <w:rPr>
          <w:rFonts w:hint="eastAsia" w:ascii="Times New Roman" w:hAnsi="Times New Roman" w:eastAsia="仿宋"/>
          <w:sz w:val="32"/>
          <w:szCs w:val="32"/>
          <w:lang w:eastAsia="zh-CN"/>
        </w:rPr>
        <w:t>减少</w:t>
      </w:r>
      <w:r>
        <w:rPr>
          <w:rFonts w:hint="eastAsia" w:ascii="Times New Roman" w:hAnsi="Times New Roman" w:eastAsia="仿宋"/>
          <w:sz w:val="32"/>
          <w:szCs w:val="32"/>
          <w:lang w:val="en-US" w:eastAsia="zh-CN"/>
        </w:rPr>
        <w:t>372.91</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下降</w:t>
      </w:r>
      <w:r>
        <w:rPr>
          <w:rFonts w:hint="eastAsia" w:ascii="Times New Roman" w:hAnsi="Times New Roman" w:eastAsia="仿宋"/>
          <w:sz w:val="32"/>
          <w:szCs w:val="32"/>
          <w:lang w:val="en-US" w:eastAsia="zh-CN"/>
        </w:rPr>
        <w:t>8.82</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_GB2312" w:cs="宋体"/>
          <w:color w:val="auto"/>
          <w:kern w:val="0"/>
          <w:sz w:val="32"/>
          <w:szCs w:val="32"/>
          <w:highlight w:val="none"/>
          <w:lang w:eastAsia="zh-CN"/>
        </w:rPr>
        <w:t>项目数量减少、项目资金下降</w:t>
      </w:r>
      <w:r>
        <w:rPr>
          <w:rFonts w:hint="eastAsia" w:ascii="Times New Roman" w:hAnsi="Times New Roman" w:eastAsia="仿宋"/>
          <w:sz w:val="32"/>
          <w:szCs w:val="32"/>
        </w:rPr>
        <w:t>。</w:t>
      </w:r>
    </w:p>
    <w:p>
      <w:pPr>
        <w:pStyle w:val="2"/>
      </w:pPr>
      <w:r>
        <w:rPr>
          <w:rFonts w:ascii="Times New Roman" w:hAnsi="Times New Roman"/>
        </w:rPr>
        <w:drawing>
          <wp:anchor distT="0" distB="0" distL="114300" distR="114300" simplePos="0" relativeHeight="251661312" behindDoc="0" locked="0" layoutInCell="1" allowOverlap="1">
            <wp:simplePos x="0" y="0"/>
            <wp:positionH relativeFrom="column">
              <wp:posOffset>361315</wp:posOffset>
            </wp:positionH>
            <wp:positionV relativeFrom="paragraph">
              <wp:posOffset>53340</wp:posOffset>
            </wp:positionV>
            <wp:extent cx="4911090" cy="3119120"/>
            <wp:effectExtent l="4445" t="4445" r="18415" b="1968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lang w:val="en-US" w:eastAsia="zh-CN"/>
        </w:rPr>
        <w:t xml:space="preserve">              </w:t>
      </w:r>
      <w:r>
        <w:rPr>
          <w:rFonts w:hint="eastAsia" w:ascii="Times New Roman" w:hAnsi="Times New Roman" w:eastAsia="仿宋"/>
          <w:color w:val="auto"/>
          <w:sz w:val="28"/>
          <w:szCs w:val="28"/>
        </w:rPr>
        <w:t>图</w:t>
      </w:r>
      <w:r>
        <w:rPr>
          <w:rFonts w:ascii="Times New Roman" w:hAnsi="Times New Roman" w:eastAsia="仿宋"/>
          <w:color w:val="auto"/>
          <w:sz w:val="28"/>
          <w:szCs w:val="28"/>
        </w:rPr>
        <w:t>1</w:t>
      </w:r>
      <w:r>
        <w:rPr>
          <w:rFonts w:hint="eastAsia" w:ascii="Times New Roman" w:hAnsi="Times New Roman" w:eastAsia="仿宋"/>
          <w:color w:val="auto"/>
          <w:sz w:val="28"/>
          <w:szCs w:val="28"/>
        </w:rPr>
        <w:t>：收、支决算总计变动情况图</w:t>
      </w:r>
    </w:p>
    <w:p>
      <w:pPr>
        <w:pStyle w:val="31"/>
        <w:numPr>
          <w:ilvl w:val="0"/>
          <w:numId w:val="3"/>
        </w:numPr>
        <w:spacing w:line="600" w:lineRule="exact"/>
        <w:ind w:left="1350" w:leftChars="0" w:firstLineChars="0"/>
        <w:outlineLvl w:val="1"/>
        <w:rPr>
          <w:rStyle w:val="33"/>
          <w:rFonts w:ascii="Times New Roman" w:hAnsi="Times New Roman" w:eastAsia="黑体"/>
          <w:b w:val="0"/>
        </w:rPr>
      </w:pPr>
      <w:bookmarkStart w:id="20" w:name="_Toc15396604"/>
      <w:bookmarkStart w:id="21" w:name="_Toc15377206"/>
      <w:r>
        <w:rPr>
          <w:rFonts w:hint="eastAsia" w:ascii="Times New Roman" w:hAnsi="Times New Roman" w:eastAsia="黑体"/>
          <w:sz w:val="32"/>
          <w:szCs w:val="32"/>
        </w:rPr>
        <w:t>收</w:t>
      </w:r>
      <w:r>
        <w:rPr>
          <w:rStyle w:val="33"/>
          <w:rFonts w:hint="eastAsia" w:ascii="Times New Roman" w:hAnsi="Times New Roman" w:eastAsia="黑体"/>
          <w:b w:val="0"/>
        </w:rPr>
        <w:t>入决算情况说明</w:t>
      </w:r>
      <w:bookmarkEnd w:id="20"/>
      <w:bookmarkEnd w:id="21"/>
    </w:p>
    <w:p>
      <w:pPr>
        <w:spacing w:line="600" w:lineRule="exact"/>
        <w:ind w:firstLine="640" w:firstLineChars="200"/>
        <w:outlineLvl w:val="1"/>
        <w:rPr>
          <w:rFonts w:hint="eastAsia"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22年本年收入合计</w:t>
      </w:r>
      <w:r>
        <w:rPr>
          <w:rFonts w:hint="eastAsia" w:ascii="Times New Roman" w:hAnsi="Times New Roman" w:eastAsia="仿宋"/>
          <w:sz w:val="32"/>
          <w:szCs w:val="32"/>
          <w:lang w:val="en-US" w:eastAsia="zh-CN"/>
        </w:rPr>
        <w:t>3776.06</w:t>
      </w:r>
      <w:r>
        <w:rPr>
          <w:rFonts w:hint="eastAsia" w:ascii="Times New Roman" w:hAnsi="Times New Roman" w:eastAsia="仿宋"/>
          <w:sz w:val="32"/>
          <w:szCs w:val="32"/>
        </w:rPr>
        <w:t>万元，其中：一般公共预算财政拨款收入</w:t>
      </w:r>
      <w:r>
        <w:rPr>
          <w:rFonts w:hint="eastAsia" w:ascii="Times New Roman" w:hAnsi="Times New Roman" w:eastAsia="仿宋"/>
          <w:sz w:val="32"/>
          <w:szCs w:val="32"/>
          <w:lang w:val="en-US" w:eastAsia="zh-CN"/>
        </w:rPr>
        <w:t>3619.93</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95.87</w:t>
      </w:r>
      <w:r>
        <w:rPr>
          <w:rFonts w:ascii="Times New Roman" w:hAnsi="Times New Roman" w:eastAsia="仿宋"/>
          <w:sz w:val="32"/>
          <w:szCs w:val="32"/>
        </w:rPr>
        <w:t>%</w:t>
      </w:r>
      <w:r>
        <w:rPr>
          <w:rFonts w:hint="eastAsia" w:ascii="Times New Roman" w:hAnsi="Times New Roman" w:eastAsia="仿宋"/>
          <w:sz w:val="32"/>
          <w:szCs w:val="32"/>
        </w:rPr>
        <w:t>；政府性基金预算财政拨款收入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；国有资本经营预算财政拨款收入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；上级补助收入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；事业收入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；经营收入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；附属单位上缴收入</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；其他收入</w:t>
      </w:r>
      <w:r>
        <w:rPr>
          <w:rFonts w:hint="eastAsia" w:ascii="Times New Roman" w:hAnsi="Times New Roman" w:eastAsia="仿宋"/>
          <w:sz w:val="32"/>
          <w:szCs w:val="32"/>
          <w:lang w:val="en-US" w:eastAsia="zh-CN"/>
        </w:rPr>
        <w:t>156.13</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4.13</w:t>
      </w:r>
      <w:r>
        <w:rPr>
          <w:rFonts w:ascii="Times New Roman" w:hAnsi="Times New Roman" w:eastAsia="仿宋"/>
          <w:sz w:val="32"/>
          <w:szCs w:val="32"/>
        </w:rPr>
        <w:t>%</w:t>
      </w:r>
      <w:r>
        <w:rPr>
          <w:rFonts w:hint="eastAsia" w:ascii="Times New Roman" w:hAnsi="Times New Roman" w:eastAsia="仿宋"/>
          <w:sz w:val="32"/>
          <w:szCs w:val="32"/>
        </w:rPr>
        <w:t>。</w:t>
      </w:r>
    </w:p>
    <w:p>
      <w:pPr>
        <w:pStyle w:val="2"/>
        <w:rPr>
          <w:rFonts w:ascii="Times New Roman" w:hAnsi="Times New Roman"/>
        </w:rPr>
      </w:pPr>
      <w:r>
        <w:rPr>
          <w:rFonts w:ascii="Times New Roman" w:hAnsi="Times New Roman"/>
        </w:rPr>
        <w:drawing>
          <wp:inline distT="0" distB="0" distL="114300" distR="114300">
            <wp:extent cx="4953000" cy="3410585"/>
            <wp:effectExtent l="4445" t="4445" r="14605" b="13970"/>
            <wp:docPr id="410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hint="default"/>
          <w:lang w:val="en-US" w:eastAsia="zh-CN"/>
        </w:rPr>
      </w:pPr>
      <w:r>
        <w:rPr>
          <w:rFonts w:hint="eastAsia" w:ascii="Times New Roman" w:hAnsi="Times New Roman" w:eastAsia="仿宋"/>
          <w:color w:val="auto"/>
          <w:sz w:val="28"/>
          <w:szCs w:val="28"/>
        </w:rPr>
        <w:t>图2：收入决算结构图</w:t>
      </w:r>
    </w:p>
    <w:p>
      <w:pPr>
        <w:pStyle w:val="31"/>
        <w:numPr>
          <w:ilvl w:val="0"/>
          <w:numId w:val="3"/>
        </w:numPr>
        <w:spacing w:line="600" w:lineRule="exact"/>
        <w:ind w:left="1350" w:leftChars="0" w:firstLineChars="0"/>
        <w:outlineLvl w:val="1"/>
        <w:rPr>
          <w:rStyle w:val="33"/>
          <w:rFonts w:ascii="Times New Roman" w:hAnsi="Times New Roman" w:eastAsia="黑体"/>
          <w:b w:val="0"/>
        </w:rPr>
      </w:pPr>
      <w:bookmarkStart w:id="22" w:name="_Toc15377207"/>
      <w:bookmarkStart w:id="23" w:name="_Toc15396605"/>
      <w:r>
        <w:rPr>
          <w:rFonts w:hint="eastAsia" w:ascii="Times New Roman" w:hAnsi="Times New Roman" w:eastAsia="黑体"/>
          <w:sz w:val="32"/>
          <w:szCs w:val="32"/>
        </w:rPr>
        <w:t>支</w:t>
      </w:r>
      <w:r>
        <w:rPr>
          <w:rStyle w:val="33"/>
          <w:rFonts w:hint="eastAsia" w:ascii="Times New Roman" w:hAnsi="Times New Roman" w:eastAsia="黑体"/>
          <w:b w:val="0"/>
        </w:rPr>
        <w:t>出决算情况说明</w:t>
      </w:r>
      <w:bookmarkEnd w:id="22"/>
      <w:bookmarkEnd w:id="23"/>
    </w:p>
    <w:p>
      <w:pPr>
        <w:spacing w:line="600" w:lineRule="exact"/>
        <w:ind w:firstLine="640" w:firstLineChars="200"/>
        <w:outlineLvl w:val="1"/>
        <w:rPr>
          <w:rFonts w:hint="eastAsia"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22年本年支出合计</w:t>
      </w:r>
      <w:r>
        <w:rPr>
          <w:rFonts w:hint="eastAsia" w:ascii="Times New Roman" w:hAnsi="Times New Roman" w:eastAsia="仿宋"/>
          <w:sz w:val="32"/>
          <w:szCs w:val="32"/>
          <w:lang w:val="en-US" w:eastAsia="zh-CN"/>
        </w:rPr>
        <w:t>3853.13</w:t>
      </w:r>
      <w:r>
        <w:rPr>
          <w:rFonts w:hint="eastAsia" w:ascii="Times New Roman" w:hAnsi="Times New Roman" w:eastAsia="仿宋"/>
          <w:sz w:val="32"/>
          <w:szCs w:val="32"/>
        </w:rPr>
        <w:t>万元，其中：基本支出</w:t>
      </w:r>
      <w:r>
        <w:rPr>
          <w:rFonts w:hint="eastAsia" w:ascii="Times New Roman" w:hAnsi="Times New Roman" w:eastAsia="仿宋"/>
          <w:sz w:val="32"/>
          <w:szCs w:val="32"/>
          <w:lang w:val="en-US" w:eastAsia="zh-CN"/>
        </w:rPr>
        <w:t>2873.47</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74.57</w:t>
      </w:r>
      <w:r>
        <w:rPr>
          <w:rFonts w:ascii="Times New Roman" w:hAnsi="Times New Roman" w:eastAsia="仿宋"/>
          <w:sz w:val="32"/>
          <w:szCs w:val="32"/>
        </w:rPr>
        <w:t>%</w:t>
      </w:r>
      <w:r>
        <w:rPr>
          <w:rFonts w:hint="eastAsia" w:ascii="Times New Roman" w:hAnsi="Times New Roman" w:eastAsia="仿宋"/>
          <w:sz w:val="32"/>
          <w:szCs w:val="32"/>
        </w:rPr>
        <w:t>；项目支出</w:t>
      </w:r>
      <w:r>
        <w:rPr>
          <w:rFonts w:hint="eastAsia" w:ascii="Times New Roman" w:hAnsi="Times New Roman" w:eastAsia="仿宋"/>
          <w:sz w:val="32"/>
          <w:szCs w:val="32"/>
          <w:lang w:val="en-US" w:eastAsia="zh-CN"/>
        </w:rPr>
        <w:t>979.66</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25.43</w:t>
      </w:r>
      <w:r>
        <w:rPr>
          <w:rFonts w:ascii="Times New Roman" w:hAnsi="Times New Roman" w:eastAsia="仿宋"/>
          <w:sz w:val="32"/>
          <w:szCs w:val="32"/>
        </w:rPr>
        <w:t>%</w:t>
      </w:r>
      <w:r>
        <w:rPr>
          <w:rFonts w:hint="eastAsia" w:ascii="Times New Roman" w:hAnsi="Times New Roman" w:eastAsia="仿宋"/>
          <w:sz w:val="32"/>
          <w:szCs w:val="32"/>
        </w:rPr>
        <w:t>；上缴上级支出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；经营支出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；对附属单位补助支出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w:t>
      </w:r>
    </w:p>
    <w:p>
      <w:pPr>
        <w:pStyle w:val="2"/>
        <w:jc w:val="center"/>
        <w:rPr>
          <w:rFonts w:ascii="Times New Roman" w:hAnsi="Times New Roman"/>
        </w:rPr>
      </w:pPr>
      <w:r>
        <w:rPr>
          <w:rFonts w:ascii="Times New Roman" w:hAnsi="Times New Roman"/>
        </w:rPr>
        <w:drawing>
          <wp:inline distT="0" distB="0" distL="114300" distR="114300">
            <wp:extent cx="5556250" cy="2787015"/>
            <wp:effectExtent l="4445" t="4445" r="20955" b="8890"/>
            <wp:docPr id="41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hint="default" w:eastAsia="仿宋_GB2312"/>
          <w:lang w:val="en-US" w:eastAsia="zh-CN"/>
        </w:rPr>
      </w:pPr>
      <w:r>
        <w:rPr>
          <w:rFonts w:hint="eastAsia"/>
          <w:lang w:val="en-US" w:eastAsia="zh-CN"/>
        </w:rPr>
        <w:t xml:space="preserve">    </w:t>
      </w:r>
      <w:r>
        <w:rPr>
          <w:rFonts w:hint="eastAsia" w:ascii="Times New Roman" w:hAnsi="Times New Roman" w:eastAsia="仿宋"/>
          <w:color w:val="auto"/>
          <w:sz w:val="28"/>
          <w:szCs w:val="28"/>
        </w:rPr>
        <w:t>图</w:t>
      </w:r>
      <w:r>
        <w:rPr>
          <w:rFonts w:hint="eastAsia" w:eastAsia="仿宋"/>
          <w:color w:val="auto"/>
          <w:sz w:val="28"/>
          <w:szCs w:val="28"/>
          <w:lang w:val="en-US" w:eastAsia="zh-CN"/>
        </w:rPr>
        <w:t>3</w:t>
      </w:r>
      <w:r>
        <w:rPr>
          <w:rFonts w:hint="eastAsia" w:ascii="Times New Roman" w:hAnsi="Times New Roman" w:eastAsia="仿宋"/>
          <w:color w:val="auto"/>
          <w:sz w:val="28"/>
          <w:szCs w:val="28"/>
        </w:rPr>
        <w:t>：</w:t>
      </w:r>
      <w:r>
        <w:rPr>
          <w:rFonts w:hint="eastAsia" w:eastAsia="仿宋"/>
          <w:color w:val="auto"/>
          <w:sz w:val="28"/>
          <w:szCs w:val="28"/>
          <w:lang w:eastAsia="zh-CN"/>
        </w:rPr>
        <w:t>支出决算</w:t>
      </w:r>
      <w:r>
        <w:rPr>
          <w:rFonts w:hint="eastAsia" w:ascii="Times New Roman" w:hAnsi="Times New Roman" w:eastAsia="仿宋"/>
          <w:color w:val="auto"/>
          <w:sz w:val="28"/>
          <w:szCs w:val="28"/>
        </w:rPr>
        <w:t>结构图</w:t>
      </w:r>
    </w:p>
    <w:p>
      <w:pPr>
        <w:spacing w:line="600" w:lineRule="exact"/>
        <w:ind w:firstLine="640" w:firstLineChars="200"/>
        <w:outlineLvl w:val="1"/>
        <w:rPr>
          <w:rFonts w:hint="eastAsia" w:ascii="Times New Roman" w:hAnsi="Times New Roman" w:eastAsia="仿宋"/>
          <w:sz w:val="32"/>
          <w:szCs w:val="32"/>
          <w:lang w:eastAsia="zh-CN"/>
        </w:rPr>
      </w:pPr>
      <w:bookmarkStart w:id="24" w:name="_Toc15377208"/>
      <w:bookmarkStart w:id="25" w:name="_Toc15396606"/>
      <w:r>
        <w:rPr>
          <w:rFonts w:hint="eastAsia" w:ascii="Times New Roman" w:hAnsi="Times New Roman" w:eastAsia="黑体"/>
          <w:sz w:val="32"/>
          <w:szCs w:val="32"/>
        </w:rPr>
        <w:t>四、财</w:t>
      </w:r>
      <w:r>
        <w:rPr>
          <w:rStyle w:val="33"/>
          <w:rFonts w:hint="eastAsia" w:ascii="Times New Roman" w:hAnsi="Times New Roman" w:eastAsia="黑体"/>
          <w:b w:val="0"/>
        </w:rPr>
        <w:t>政拨款收入支出决算总体情况说明</w:t>
      </w:r>
      <w:bookmarkEnd w:id="24"/>
      <w:bookmarkEnd w:id="25"/>
    </w:p>
    <w:p>
      <w:pPr>
        <w:spacing w:line="600" w:lineRule="exact"/>
        <w:ind w:firstLine="64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22年财政拨款收、支总计</w:t>
      </w:r>
      <w:r>
        <w:rPr>
          <w:rFonts w:hint="eastAsia" w:ascii="Times New Roman" w:hAnsi="Times New Roman" w:eastAsia="仿宋"/>
          <w:sz w:val="32"/>
          <w:szCs w:val="32"/>
          <w:lang w:val="en-US" w:eastAsia="zh-CN"/>
        </w:rPr>
        <w:t>3697.00</w:t>
      </w:r>
      <w:r>
        <w:rPr>
          <w:rFonts w:hint="eastAsia" w:ascii="Times New Roman" w:hAnsi="Times New Roman" w:eastAsia="仿宋"/>
          <w:sz w:val="32"/>
          <w:szCs w:val="32"/>
        </w:rPr>
        <w:t>万元。与</w:t>
      </w:r>
      <w:r>
        <w:rPr>
          <w:rFonts w:ascii="Times New Roman" w:hAnsi="Times New Roman" w:eastAsia="仿宋"/>
          <w:sz w:val="32"/>
          <w:szCs w:val="32"/>
        </w:rPr>
        <w:t>20</w:t>
      </w:r>
      <w:r>
        <w:rPr>
          <w:rFonts w:hint="eastAsia" w:ascii="Times New Roman" w:hAnsi="Times New Roman" w:eastAsia="仿宋"/>
          <w:sz w:val="32"/>
          <w:szCs w:val="32"/>
        </w:rPr>
        <w:t>21年相比，财政拨款收、支总计各减少</w:t>
      </w:r>
      <w:r>
        <w:rPr>
          <w:rFonts w:hint="eastAsia" w:ascii="Times New Roman" w:hAnsi="Times New Roman" w:eastAsia="仿宋"/>
          <w:sz w:val="32"/>
          <w:szCs w:val="32"/>
          <w:lang w:val="en-US" w:eastAsia="zh-CN"/>
        </w:rPr>
        <w:t>226.85</w:t>
      </w:r>
      <w:r>
        <w:rPr>
          <w:rFonts w:hint="eastAsia" w:ascii="Times New Roman" w:hAnsi="Times New Roman" w:eastAsia="仿宋"/>
          <w:sz w:val="32"/>
          <w:szCs w:val="32"/>
        </w:rPr>
        <w:t>万元，下降</w:t>
      </w:r>
      <w:r>
        <w:rPr>
          <w:rFonts w:hint="eastAsia" w:ascii="Times New Roman" w:hAnsi="Times New Roman" w:eastAsia="仿宋"/>
          <w:sz w:val="32"/>
          <w:szCs w:val="32"/>
          <w:lang w:val="en-US" w:eastAsia="zh-CN"/>
        </w:rPr>
        <w:t>6.14</w:t>
      </w:r>
      <w:r>
        <w:rPr>
          <w:rFonts w:ascii="Times New Roman" w:hAnsi="Times New Roman" w:eastAsia="仿宋"/>
          <w:sz w:val="32"/>
          <w:szCs w:val="32"/>
        </w:rPr>
        <w:t>%</w:t>
      </w:r>
      <w:r>
        <w:rPr>
          <w:rFonts w:hint="eastAsia" w:ascii="Times New Roman" w:hAnsi="Times New Roman" w:eastAsia="仿宋"/>
          <w:sz w:val="32"/>
          <w:szCs w:val="32"/>
        </w:rPr>
        <w:t>。</w:t>
      </w:r>
    </w:p>
    <w:p>
      <w:pPr>
        <w:spacing w:line="600" w:lineRule="exact"/>
        <w:rPr>
          <w:rFonts w:ascii="Times New Roman" w:hAnsi="Times New Roman" w:eastAsia="仿宋"/>
          <w:b/>
          <w:sz w:val="32"/>
          <w:szCs w:val="32"/>
        </w:rPr>
      </w:pPr>
      <w:r>
        <w:rPr>
          <w:rFonts w:hint="eastAsia" w:ascii="Times New Roman" w:hAnsi="Times New Roman" w:eastAsia="仿宋"/>
          <w:sz w:val="32"/>
          <w:szCs w:val="32"/>
        </w:rPr>
        <w:t>主要变动原因是</w:t>
      </w:r>
      <w:r>
        <w:rPr>
          <w:rFonts w:hint="eastAsia" w:ascii="Times New Roman" w:hAnsi="Times New Roman" w:eastAsia="仿宋"/>
          <w:sz w:val="32"/>
          <w:szCs w:val="32"/>
          <w:lang w:eastAsia="zh-CN"/>
        </w:rPr>
        <w:t>年初财政拨款结转和结余减少。</w:t>
      </w:r>
    </w:p>
    <w:p>
      <w:pPr>
        <w:pStyle w:val="3"/>
        <w:rPr>
          <w:rFonts w:ascii="Times New Roman" w:hAnsi="Times New Roman"/>
        </w:rPr>
      </w:pPr>
    </w:p>
    <w:p>
      <w:pPr>
        <w:pStyle w:val="3"/>
        <w:rPr>
          <w:rFonts w:ascii="Times New Roman" w:hAnsi="Times New Roman"/>
        </w:rPr>
      </w:pPr>
      <w:r>
        <w:rPr>
          <w:rFonts w:ascii="Times New Roman" w:hAnsi="Times New Roman"/>
        </w:rPr>
        <w:drawing>
          <wp:anchor distT="0" distB="0" distL="114300" distR="114300" simplePos="0" relativeHeight="251659264" behindDoc="0" locked="0" layoutInCell="1" allowOverlap="1">
            <wp:simplePos x="0" y="0"/>
            <wp:positionH relativeFrom="column">
              <wp:posOffset>87630</wp:posOffset>
            </wp:positionH>
            <wp:positionV relativeFrom="paragraph">
              <wp:posOffset>50800</wp:posOffset>
            </wp:positionV>
            <wp:extent cx="4996180" cy="3092450"/>
            <wp:effectExtent l="4445" t="4445" r="9525" b="8255"/>
            <wp:wrapNone/>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spacing w:line="600" w:lineRule="exact"/>
        <w:rPr>
          <w:rFonts w:hint="eastAsia" w:ascii="Times New Roman" w:hAnsi="Times New Roman" w:eastAsia="仿宋"/>
          <w:color w:val="0000FF"/>
          <w:sz w:val="32"/>
          <w:szCs w:val="32"/>
        </w:rPr>
      </w:pPr>
    </w:p>
    <w:p>
      <w:pPr>
        <w:spacing w:line="600" w:lineRule="exact"/>
        <w:rPr>
          <w:rFonts w:hint="eastAsia" w:ascii="Times New Roman" w:hAnsi="Times New Roman" w:eastAsia="仿宋"/>
          <w:color w:val="0000FF"/>
          <w:sz w:val="32"/>
          <w:szCs w:val="32"/>
        </w:rPr>
      </w:pPr>
    </w:p>
    <w:p>
      <w:pPr>
        <w:spacing w:line="600" w:lineRule="exact"/>
        <w:rPr>
          <w:rFonts w:hint="eastAsia" w:ascii="Times New Roman" w:hAnsi="Times New Roman" w:eastAsia="仿宋"/>
          <w:color w:val="0000FF"/>
          <w:sz w:val="32"/>
          <w:szCs w:val="32"/>
        </w:rPr>
      </w:pPr>
    </w:p>
    <w:p>
      <w:pPr>
        <w:spacing w:line="600" w:lineRule="exact"/>
        <w:rPr>
          <w:rFonts w:hint="eastAsia" w:ascii="Times New Roman" w:hAnsi="Times New Roman" w:eastAsia="仿宋"/>
          <w:color w:val="0000FF"/>
          <w:sz w:val="32"/>
          <w:szCs w:val="32"/>
        </w:rPr>
      </w:pPr>
    </w:p>
    <w:p>
      <w:pPr>
        <w:spacing w:line="600" w:lineRule="exact"/>
        <w:rPr>
          <w:rFonts w:hint="eastAsia" w:ascii="Times New Roman" w:hAnsi="Times New Roman" w:eastAsia="仿宋"/>
          <w:color w:val="0000FF"/>
          <w:sz w:val="32"/>
          <w:szCs w:val="32"/>
        </w:rPr>
      </w:pPr>
    </w:p>
    <w:p>
      <w:pPr>
        <w:spacing w:line="600" w:lineRule="exact"/>
        <w:rPr>
          <w:rFonts w:hint="eastAsia" w:ascii="Times New Roman" w:hAnsi="Times New Roman" w:eastAsia="仿宋"/>
          <w:color w:val="0000FF"/>
          <w:sz w:val="32"/>
          <w:szCs w:val="32"/>
        </w:rPr>
      </w:pPr>
    </w:p>
    <w:p>
      <w:pPr>
        <w:spacing w:line="600" w:lineRule="exact"/>
        <w:jc w:val="center"/>
        <w:rPr>
          <w:rFonts w:ascii="Times New Roman" w:hAnsi="Times New Roman" w:eastAsia="仿宋"/>
          <w:color w:val="auto"/>
          <w:sz w:val="28"/>
          <w:szCs w:val="28"/>
        </w:rPr>
      </w:pPr>
      <w:r>
        <w:rPr>
          <w:rFonts w:hint="eastAsia" w:ascii="Times New Roman" w:hAnsi="Times New Roman" w:eastAsia="仿宋"/>
          <w:color w:val="auto"/>
          <w:sz w:val="28"/>
          <w:szCs w:val="28"/>
        </w:rPr>
        <w:t>图4：财政拨款收、支决算总计变动情况</w:t>
      </w:r>
    </w:p>
    <w:p>
      <w:pPr>
        <w:spacing w:line="600" w:lineRule="exact"/>
        <w:ind w:firstLine="960" w:firstLineChars="300"/>
        <w:outlineLvl w:val="1"/>
        <w:rPr>
          <w:rStyle w:val="33"/>
          <w:rFonts w:ascii="Times New Roman" w:hAnsi="Times New Roman" w:eastAsia="黑体"/>
          <w:b w:val="0"/>
        </w:rPr>
      </w:pPr>
      <w:bookmarkStart w:id="26" w:name="_Toc15396607"/>
      <w:bookmarkStart w:id="27" w:name="_Toc15377209"/>
      <w:r>
        <w:rPr>
          <w:rFonts w:hint="eastAsia" w:ascii="Times New Roman" w:hAnsi="Times New Roman" w:eastAsia="黑体"/>
          <w:sz w:val="32"/>
          <w:szCs w:val="32"/>
        </w:rPr>
        <w:t>五、</w:t>
      </w:r>
      <w:r>
        <w:rPr>
          <w:rFonts w:hint="eastAsia" w:ascii="Times New Roman" w:hAnsi="Times New Roman" w:eastAsia="黑体"/>
          <w:b/>
          <w:sz w:val="32"/>
          <w:szCs w:val="32"/>
        </w:rPr>
        <w:t>一</w:t>
      </w:r>
      <w:r>
        <w:rPr>
          <w:rStyle w:val="33"/>
          <w:rFonts w:hint="eastAsia" w:ascii="Times New Roman" w:hAnsi="Times New Roman" w:eastAsia="黑体"/>
          <w:b w:val="0"/>
        </w:rPr>
        <w:t>般公共预算财政拨款支出决算情况说明</w:t>
      </w:r>
      <w:bookmarkEnd w:id="26"/>
      <w:bookmarkEnd w:id="27"/>
    </w:p>
    <w:p>
      <w:pPr>
        <w:spacing w:line="600" w:lineRule="exact"/>
        <w:ind w:firstLine="643" w:firstLineChars="200"/>
        <w:outlineLvl w:val="2"/>
        <w:rPr>
          <w:rFonts w:ascii="Times New Roman" w:hAnsi="Times New Roman" w:eastAsia="仿宋"/>
          <w:b/>
          <w:sz w:val="32"/>
          <w:szCs w:val="32"/>
        </w:rPr>
      </w:pPr>
      <w:bookmarkStart w:id="28" w:name="_Toc15377210"/>
      <w:r>
        <w:rPr>
          <w:rFonts w:hint="eastAsia" w:ascii="Times New Roman" w:hAnsi="Times New Roman" w:eastAsia="仿宋"/>
          <w:b/>
          <w:sz w:val="32"/>
          <w:szCs w:val="32"/>
        </w:rPr>
        <w:t>（一）一般公共预算财政拨款支出决算总体情况</w:t>
      </w:r>
      <w:bookmarkEnd w:id="28"/>
    </w:p>
    <w:p>
      <w:pPr>
        <w:spacing w:line="600" w:lineRule="exact"/>
        <w:ind w:firstLine="640" w:firstLineChars="200"/>
        <w:rPr>
          <w:rFonts w:hint="eastAsia" w:ascii="Times New Roman" w:hAnsi="Times New Roman" w:eastAsia="仿宋_GB2312" w:cs="宋体"/>
          <w:color w:val="auto"/>
          <w:kern w:val="0"/>
          <w:sz w:val="32"/>
          <w:szCs w:val="32"/>
          <w:highlight w:val="none"/>
          <w:lang w:eastAsia="zh-CN"/>
        </w:rPr>
      </w:pPr>
      <w:r>
        <w:rPr>
          <w:rFonts w:ascii="Times New Roman" w:hAnsi="Times New Roman" w:eastAsia="仿宋"/>
          <w:sz w:val="32"/>
          <w:szCs w:val="32"/>
        </w:rPr>
        <w:t>20</w:t>
      </w:r>
      <w:r>
        <w:rPr>
          <w:rFonts w:hint="eastAsia" w:ascii="Times New Roman" w:hAnsi="Times New Roman" w:eastAsia="仿宋"/>
          <w:sz w:val="32"/>
          <w:szCs w:val="32"/>
        </w:rPr>
        <w:t>22年一般公共预算财政拨款支出</w:t>
      </w:r>
      <w:r>
        <w:rPr>
          <w:rFonts w:hint="eastAsia" w:ascii="Times New Roman" w:hAnsi="Times New Roman" w:eastAsia="仿宋"/>
          <w:sz w:val="32"/>
          <w:szCs w:val="32"/>
          <w:lang w:val="en-US" w:eastAsia="zh-CN"/>
        </w:rPr>
        <w:t>3697.00</w:t>
      </w:r>
      <w:r>
        <w:rPr>
          <w:rFonts w:hint="eastAsia" w:ascii="Times New Roman" w:hAnsi="Times New Roman" w:eastAsia="仿宋"/>
          <w:sz w:val="32"/>
          <w:szCs w:val="32"/>
        </w:rPr>
        <w:t>万元，占本年支出合计的</w:t>
      </w:r>
      <w:r>
        <w:rPr>
          <w:rFonts w:hint="eastAsia" w:ascii="Times New Roman" w:hAnsi="Times New Roman" w:eastAsia="仿宋"/>
          <w:sz w:val="32"/>
          <w:szCs w:val="32"/>
          <w:lang w:val="en-US" w:eastAsia="zh-CN"/>
        </w:rPr>
        <w:t>95.95</w:t>
      </w:r>
      <w:r>
        <w:rPr>
          <w:rFonts w:ascii="Times New Roman" w:hAnsi="Times New Roman" w:eastAsia="仿宋"/>
          <w:sz w:val="32"/>
          <w:szCs w:val="32"/>
        </w:rPr>
        <w:t>%</w:t>
      </w:r>
      <w:r>
        <w:rPr>
          <w:rFonts w:hint="eastAsia" w:ascii="Times New Roman" w:hAnsi="Times New Roman" w:eastAsia="仿宋"/>
          <w:sz w:val="32"/>
          <w:szCs w:val="32"/>
        </w:rPr>
        <w:t>。与</w:t>
      </w:r>
      <w:r>
        <w:rPr>
          <w:rFonts w:ascii="Times New Roman" w:hAnsi="Times New Roman" w:eastAsia="仿宋"/>
          <w:sz w:val="32"/>
          <w:szCs w:val="32"/>
        </w:rPr>
        <w:t>20</w:t>
      </w:r>
      <w:r>
        <w:rPr>
          <w:rFonts w:hint="eastAsia" w:ascii="Times New Roman" w:hAnsi="Times New Roman" w:eastAsia="仿宋"/>
          <w:sz w:val="32"/>
          <w:szCs w:val="32"/>
        </w:rPr>
        <w:t>21年相比，一般公共预算财政拨款支出</w:t>
      </w:r>
      <w:r>
        <w:rPr>
          <w:rFonts w:hint="eastAsia" w:ascii="Times New Roman" w:hAnsi="Times New Roman" w:eastAsia="仿宋"/>
          <w:sz w:val="32"/>
          <w:szCs w:val="32"/>
          <w:lang w:eastAsia="zh-CN"/>
        </w:rPr>
        <w:t>减少</w:t>
      </w:r>
      <w:r>
        <w:rPr>
          <w:rFonts w:hint="eastAsia" w:ascii="Times New Roman" w:hAnsi="Times New Roman" w:eastAsia="仿宋"/>
          <w:sz w:val="32"/>
          <w:szCs w:val="32"/>
          <w:lang w:val="en-US" w:eastAsia="zh-CN"/>
        </w:rPr>
        <w:t>217.48</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下降</w:t>
      </w:r>
      <w:r>
        <w:rPr>
          <w:rFonts w:hint="eastAsia" w:ascii="Times New Roman" w:hAnsi="Times New Roman" w:eastAsia="仿宋"/>
          <w:sz w:val="32"/>
          <w:szCs w:val="32"/>
          <w:lang w:val="en-US" w:eastAsia="zh-CN"/>
        </w:rPr>
        <w:t>5.56</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_GB2312" w:cs="宋体"/>
          <w:color w:val="auto"/>
          <w:kern w:val="0"/>
          <w:sz w:val="32"/>
          <w:szCs w:val="32"/>
          <w:highlight w:val="none"/>
          <w:lang w:eastAsia="zh-CN"/>
        </w:rPr>
        <w:t>项目数量减少、项目资金下降。</w:t>
      </w:r>
    </w:p>
    <w:p>
      <w:pPr>
        <w:pStyle w:val="2"/>
        <w:rPr>
          <w:rFonts w:hint="eastAsia" w:ascii="Times New Roman" w:hAnsi="Times New Roman" w:eastAsia="仿宋_GB2312" w:cs="宋体"/>
          <w:color w:val="auto"/>
          <w:kern w:val="0"/>
          <w:sz w:val="32"/>
          <w:szCs w:val="32"/>
          <w:highlight w:val="none"/>
          <w:lang w:eastAsia="zh-CN"/>
        </w:rPr>
      </w:pPr>
      <w:r>
        <w:rPr>
          <w:rFonts w:ascii="Times New Roman" w:hAnsi="Times New Roman"/>
        </w:rPr>
        <w:drawing>
          <wp:inline distT="0" distB="0" distL="114300" distR="114300">
            <wp:extent cx="5274310" cy="3181985"/>
            <wp:effectExtent l="4445" t="4445" r="17145" b="13970"/>
            <wp:docPr id="410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图5：一般公共预算财政拨款支出决算变动情况</w:t>
      </w:r>
    </w:p>
    <w:p>
      <w:pPr>
        <w:spacing w:line="600" w:lineRule="exact"/>
        <w:ind w:firstLine="643" w:firstLineChars="200"/>
        <w:outlineLvl w:val="2"/>
        <w:rPr>
          <w:rFonts w:hint="eastAsia" w:ascii="Times New Roman" w:hAnsi="Times New Roman" w:eastAsia="仿宋"/>
          <w:b/>
          <w:sz w:val="32"/>
          <w:szCs w:val="32"/>
        </w:rPr>
      </w:pPr>
      <w:bookmarkStart w:id="29" w:name="_Toc15377211"/>
      <w:r>
        <w:rPr>
          <w:rFonts w:hint="eastAsia" w:ascii="Times New Roman" w:hAnsi="Times New Roman" w:eastAsia="仿宋"/>
          <w:b/>
          <w:sz w:val="32"/>
          <w:szCs w:val="32"/>
        </w:rPr>
        <w:t>（二）一般公共预算财政拨款支出决算结构情况</w:t>
      </w:r>
      <w:bookmarkEnd w:id="29"/>
    </w:p>
    <w:p>
      <w:pPr>
        <w:spacing w:line="600" w:lineRule="exact"/>
        <w:ind w:firstLine="640"/>
        <w:rPr>
          <w:rFonts w:hint="eastAsia"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22年一般公共预算财政拨款支出</w:t>
      </w:r>
      <w:r>
        <w:rPr>
          <w:rFonts w:hint="eastAsia" w:ascii="Times New Roman" w:hAnsi="Times New Roman" w:eastAsia="仿宋"/>
          <w:sz w:val="32"/>
          <w:szCs w:val="32"/>
          <w:lang w:val="en-US" w:eastAsia="zh-CN"/>
        </w:rPr>
        <w:t>3697.00</w:t>
      </w:r>
      <w:r>
        <w:rPr>
          <w:rFonts w:hint="eastAsia" w:ascii="Times New Roman" w:hAnsi="Times New Roman" w:eastAsia="仿宋"/>
          <w:sz w:val="32"/>
          <w:szCs w:val="32"/>
        </w:rPr>
        <w:t>万元，主要用于以下方面</w:t>
      </w:r>
      <w:r>
        <w:rPr>
          <w:rFonts w:ascii="Times New Roman" w:hAnsi="Times New Roman" w:eastAsia="仿宋"/>
          <w:sz w:val="32"/>
          <w:szCs w:val="32"/>
        </w:rPr>
        <w:t>:</w:t>
      </w:r>
      <w:r>
        <w:rPr>
          <w:rFonts w:hint="eastAsia" w:ascii="Times New Roman" w:hAnsi="Times New Roman" w:eastAsia="仿宋"/>
          <w:b/>
          <w:sz w:val="32"/>
          <w:szCs w:val="32"/>
        </w:rPr>
        <w:t>一般公共服务</w:t>
      </w:r>
      <w:r>
        <w:rPr>
          <w:rFonts w:hint="eastAsia" w:ascii="Times New Roman" w:hAnsi="Times New Roman" w:eastAsia="仿宋"/>
          <w:b/>
          <w:bCs/>
          <w:sz w:val="32"/>
          <w:szCs w:val="32"/>
        </w:rPr>
        <w:t>支出</w:t>
      </w:r>
      <w:r>
        <w:rPr>
          <w:rFonts w:hint="eastAsia" w:ascii="Times New Roman" w:hAnsi="Times New Roman" w:eastAsia="仿宋"/>
          <w:sz w:val="32"/>
          <w:szCs w:val="32"/>
          <w:lang w:val="en-US" w:eastAsia="zh-CN"/>
        </w:rPr>
        <w:t>1.54</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0.04</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sz w:val="32"/>
          <w:szCs w:val="32"/>
        </w:rPr>
        <w:t>教育支出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sz w:val="32"/>
          <w:szCs w:val="32"/>
        </w:rPr>
        <w:t>科学技术</w:t>
      </w:r>
      <w:r>
        <w:rPr>
          <w:rFonts w:hint="eastAsia" w:ascii="Times New Roman" w:hAnsi="Times New Roman" w:eastAsia="仿宋"/>
          <w:b/>
          <w:bCs/>
          <w:sz w:val="32"/>
          <w:szCs w:val="32"/>
        </w:rPr>
        <w:t>支出</w:t>
      </w:r>
      <w:r>
        <w:rPr>
          <w:rFonts w:hint="eastAsia" w:ascii="Times New Roman" w:hAnsi="Times New Roman" w:eastAsia="仿宋"/>
          <w:sz w:val="32"/>
          <w:szCs w:val="32"/>
          <w:lang w:val="en-US" w:eastAsia="zh-CN"/>
        </w:rPr>
        <w:t>208.82</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5.65</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bCs/>
          <w:sz w:val="32"/>
          <w:szCs w:val="32"/>
        </w:rPr>
        <w:t>文化旅游体育与传媒支出</w:t>
      </w:r>
      <w:r>
        <w:rPr>
          <w:rFonts w:hint="eastAsia" w:ascii="Times New Roman" w:hAnsi="Times New Roman" w:eastAsia="仿宋"/>
          <w:b/>
          <w:bCs/>
          <w:sz w:val="32"/>
          <w:szCs w:val="32"/>
          <w:lang w:val="en-US" w:eastAsia="zh-CN"/>
        </w:rPr>
        <w:t>0</w:t>
      </w:r>
      <w:r>
        <w:rPr>
          <w:rFonts w:hint="eastAsia" w:ascii="Times New Roman" w:hAnsi="Times New Roman" w:eastAsia="仿宋"/>
          <w:b/>
          <w:bCs/>
          <w:sz w:val="32"/>
          <w:szCs w:val="32"/>
        </w:rPr>
        <w:t>万元，占</w:t>
      </w:r>
      <w:r>
        <w:rPr>
          <w:rFonts w:hint="eastAsia" w:ascii="Times New Roman" w:hAnsi="Times New Roman" w:eastAsia="仿宋"/>
          <w:b/>
          <w:bCs/>
          <w:sz w:val="32"/>
          <w:szCs w:val="32"/>
          <w:lang w:val="en-US" w:eastAsia="zh-CN"/>
        </w:rPr>
        <w:t>0</w:t>
      </w:r>
      <w:r>
        <w:rPr>
          <w:rFonts w:ascii="Times New Roman" w:hAnsi="Times New Roman" w:eastAsia="仿宋"/>
          <w:b/>
          <w:bCs/>
          <w:sz w:val="32"/>
          <w:szCs w:val="32"/>
        </w:rPr>
        <w:t>%</w:t>
      </w:r>
      <w:r>
        <w:rPr>
          <w:rFonts w:hint="eastAsia" w:ascii="Times New Roman" w:hAnsi="Times New Roman" w:eastAsia="仿宋"/>
          <w:sz w:val="32"/>
          <w:szCs w:val="32"/>
        </w:rPr>
        <w:t>；</w:t>
      </w:r>
      <w:r>
        <w:rPr>
          <w:rFonts w:hint="eastAsia" w:ascii="Times New Roman" w:hAnsi="Times New Roman" w:eastAsia="仿宋"/>
          <w:b/>
          <w:sz w:val="32"/>
          <w:szCs w:val="32"/>
        </w:rPr>
        <w:t>社会保障和就业</w:t>
      </w:r>
      <w:r>
        <w:rPr>
          <w:rFonts w:hint="eastAsia" w:ascii="Times New Roman" w:hAnsi="Times New Roman" w:eastAsia="仿宋"/>
          <w:b/>
          <w:bCs/>
          <w:sz w:val="32"/>
          <w:szCs w:val="32"/>
        </w:rPr>
        <w:t>支出</w:t>
      </w:r>
      <w:r>
        <w:rPr>
          <w:rFonts w:hint="eastAsia" w:ascii="Times New Roman" w:hAnsi="Times New Roman" w:eastAsia="仿宋"/>
          <w:sz w:val="32"/>
          <w:szCs w:val="32"/>
          <w:lang w:val="en-US" w:eastAsia="zh-CN"/>
        </w:rPr>
        <w:t>538.17</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14.55</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bCs/>
          <w:sz w:val="32"/>
          <w:szCs w:val="32"/>
        </w:rPr>
        <w:t>卫生健康支出</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bCs/>
          <w:sz w:val="32"/>
          <w:szCs w:val="32"/>
        </w:rPr>
        <w:t>住房保障支出</w:t>
      </w:r>
      <w:r>
        <w:rPr>
          <w:rFonts w:hint="eastAsia" w:ascii="Times New Roman" w:hAnsi="Times New Roman" w:eastAsia="仿宋"/>
          <w:sz w:val="32"/>
          <w:szCs w:val="32"/>
          <w:lang w:val="en-US" w:eastAsia="zh-CN"/>
        </w:rPr>
        <w:t>198.82</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5.38</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bCs/>
          <w:sz w:val="32"/>
          <w:szCs w:val="32"/>
          <w:lang w:eastAsia="zh-CN"/>
        </w:rPr>
        <w:t>农林水支出</w:t>
      </w:r>
      <w:r>
        <w:rPr>
          <w:rFonts w:hint="eastAsia" w:ascii="Times New Roman" w:hAnsi="Times New Roman" w:eastAsia="仿宋"/>
          <w:sz w:val="32"/>
          <w:szCs w:val="32"/>
          <w:lang w:val="en-US" w:eastAsia="zh-CN"/>
        </w:rPr>
        <w:t>2749.65万元，</w:t>
      </w:r>
      <w:r>
        <w:rPr>
          <w:rFonts w:hint="eastAsia" w:ascii="Times New Roman" w:hAnsi="Times New Roman" w:eastAsia="仿宋"/>
          <w:sz w:val="32"/>
          <w:szCs w:val="32"/>
        </w:rPr>
        <w:t>占</w:t>
      </w:r>
      <w:r>
        <w:rPr>
          <w:rFonts w:hint="eastAsia" w:ascii="Times New Roman" w:hAnsi="Times New Roman" w:eastAsia="仿宋"/>
          <w:sz w:val="32"/>
          <w:szCs w:val="32"/>
          <w:lang w:val="en-US" w:eastAsia="zh-CN"/>
        </w:rPr>
        <w:t>74.38</w:t>
      </w:r>
      <w:r>
        <w:rPr>
          <w:rFonts w:ascii="Times New Roman" w:hAnsi="Times New Roman" w:eastAsia="仿宋"/>
          <w:sz w:val="32"/>
          <w:szCs w:val="32"/>
        </w:rPr>
        <w:t>%</w:t>
      </w:r>
      <w:r>
        <w:rPr>
          <w:rFonts w:hint="eastAsia" w:ascii="Times New Roman" w:hAnsi="Times New Roman" w:eastAsia="仿宋"/>
          <w:sz w:val="32"/>
          <w:szCs w:val="32"/>
        </w:rPr>
        <w:t>。</w:t>
      </w:r>
      <w:bookmarkStart w:id="67" w:name="_GoBack"/>
      <w:bookmarkEnd w:id="67"/>
    </w:p>
    <w:p>
      <w:pPr>
        <w:spacing w:line="600" w:lineRule="exact"/>
        <w:ind w:firstLine="640"/>
        <w:rPr>
          <w:rFonts w:ascii="Times New Roman" w:hAnsi="Times New Roman" w:eastAsia="仿宋"/>
          <w:sz w:val="32"/>
          <w:szCs w:val="32"/>
        </w:rPr>
      </w:pPr>
      <w:r>
        <w:rPr>
          <w:rFonts w:ascii="Times New Roman" w:hAnsi="Times New Roman"/>
        </w:rPr>
        <w:drawing>
          <wp:anchor distT="0" distB="0" distL="114300" distR="114300" simplePos="0" relativeHeight="251660288" behindDoc="1" locked="0" layoutInCell="1" allowOverlap="1">
            <wp:simplePos x="0" y="0"/>
            <wp:positionH relativeFrom="column">
              <wp:posOffset>357505</wp:posOffset>
            </wp:positionH>
            <wp:positionV relativeFrom="paragraph">
              <wp:posOffset>189230</wp:posOffset>
            </wp:positionV>
            <wp:extent cx="4906645" cy="4048760"/>
            <wp:effectExtent l="4445" t="4445" r="22860" b="23495"/>
            <wp:wrapNone/>
            <wp:docPr id="41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Times New Roman" w:hAnsi="Times New Roman" w:eastAsia="仿宋"/>
          <w:sz w:val="32"/>
          <w:szCs w:val="32"/>
        </w:rPr>
      </w:pPr>
    </w:p>
    <w:p>
      <w:pPr>
        <w:spacing w:line="600" w:lineRule="exact"/>
        <w:ind w:firstLine="643" w:firstLineChars="200"/>
        <w:outlineLvl w:val="2"/>
        <w:rPr>
          <w:rFonts w:hint="eastAsia" w:ascii="Times New Roman" w:hAnsi="Times New Roman" w:eastAsia="仿宋"/>
          <w:b/>
          <w:sz w:val="32"/>
          <w:szCs w:val="32"/>
        </w:rPr>
      </w:pPr>
      <w:bookmarkStart w:id="30" w:name="_Toc15377212"/>
    </w:p>
    <w:p>
      <w:pPr>
        <w:spacing w:line="600" w:lineRule="exact"/>
        <w:ind w:firstLine="643" w:firstLineChars="200"/>
        <w:outlineLvl w:val="2"/>
        <w:rPr>
          <w:rFonts w:hint="eastAsia" w:ascii="Times New Roman" w:hAnsi="Times New Roman" w:eastAsia="仿宋"/>
          <w:b/>
          <w:sz w:val="32"/>
          <w:szCs w:val="32"/>
        </w:rPr>
      </w:pPr>
    </w:p>
    <w:p>
      <w:pPr>
        <w:spacing w:line="600" w:lineRule="exact"/>
        <w:ind w:firstLine="643" w:firstLineChars="200"/>
        <w:outlineLvl w:val="2"/>
        <w:rPr>
          <w:rFonts w:hint="eastAsia" w:ascii="Times New Roman" w:hAnsi="Times New Roman" w:eastAsia="仿宋"/>
          <w:b/>
          <w:sz w:val="32"/>
          <w:szCs w:val="32"/>
        </w:rPr>
      </w:pPr>
    </w:p>
    <w:p>
      <w:pPr>
        <w:spacing w:line="600" w:lineRule="exact"/>
        <w:ind w:firstLine="643" w:firstLineChars="200"/>
        <w:outlineLvl w:val="2"/>
        <w:rPr>
          <w:rFonts w:hint="eastAsia" w:ascii="Times New Roman" w:hAnsi="Times New Roman" w:eastAsia="仿宋"/>
          <w:b/>
          <w:sz w:val="32"/>
          <w:szCs w:val="32"/>
        </w:rPr>
      </w:pPr>
    </w:p>
    <w:p>
      <w:pPr>
        <w:spacing w:line="600" w:lineRule="exact"/>
        <w:ind w:firstLine="643" w:firstLineChars="200"/>
        <w:outlineLvl w:val="2"/>
        <w:rPr>
          <w:rFonts w:hint="eastAsia" w:ascii="Times New Roman" w:hAnsi="Times New Roman" w:eastAsia="仿宋"/>
          <w:b/>
          <w:sz w:val="32"/>
          <w:szCs w:val="32"/>
        </w:rPr>
      </w:pPr>
    </w:p>
    <w:p>
      <w:pPr>
        <w:spacing w:line="600" w:lineRule="exact"/>
        <w:ind w:firstLine="643" w:firstLineChars="200"/>
        <w:outlineLvl w:val="2"/>
        <w:rPr>
          <w:rFonts w:hint="eastAsia" w:ascii="Times New Roman" w:hAnsi="Times New Roman" w:eastAsia="仿宋"/>
          <w:b/>
          <w:sz w:val="32"/>
          <w:szCs w:val="32"/>
        </w:rPr>
      </w:pPr>
    </w:p>
    <w:p>
      <w:pPr>
        <w:spacing w:line="600" w:lineRule="exact"/>
        <w:ind w:firstLine="643" w:firstLineChars="200"/>
        <w:outlineLvl w:val="2"/>
        <w:rPr>
          <w:rFonts w:hint="eastAsia" w:ascii="Times New Roman" w:hAnsi="Times New Roman" w:eastAsia="仿宋"/>
          <w:b/>
          <w:sz w:val="32"/>
          <w:szCs w:val="32"/>
        </w:rPr>
      </w:pPr>
    </w:p>
    <w:p>
      <w:pPr>
        <w:spacing w:line="600" w:lineRule="exact"/>
        <w:ind w:firstLine="643" w:firstLineChars="200"/>
        <w:outlineLvl w:val="2"/>
        <w:rPr>
          <w:rFonts w:hint="eastAsia" w:ascii="Times New Roman" w:hAnsi="Times New Roman" w:eastAsia="仿宋"/>
          <w:b/>
          <w:sz w:val="32"/>
          <w:szCs w:val="32"/>
        </w:rPr>
      </w:pPr>
    </w:p>
    <w:p>
      <w:pPr>
        <w:spacing w:line="600" w:lineRule="exact"/>
        <w:ind w:firstLine="640" w:firstLineChars="200"/>
        <w:rPr>
          <w:rFonts w:hint="eastAsia" w:ascii="Times New Roman" w:hAnsi="Times New Roman" w:eastAsia="仿宋"/>
          <w:color w:val="0000FF"/>
          <w:sz w:val="32"/>
          <w:szCs w:val="32"/>
        </w:rPr>
      </w:pPr>
    </w:p>
    <w:p>
      <w:pPr>
        <w:spacing w:line="600" w:lineRule="exact"/>
        <w:jc w:val="center"/>
        <w:rPr>
          <w:rFonts w:hint="eastAsia" w:ascii="Times New Roman" w:hAnsi="Times New Roman" w:eastAsia="仿宋"/>
          <w:b/>
          <w:color w:val="auto"/>
          <w:sz w:val="28"/>
          <w:szCs w:val="28"/>
        </w:rPr>
      </w:pPr>
      <w:r>
        <w:rPr>
          <w:rFonts w:hint="eastAsia" w:ascii="Times New Roman" w:hAnsi="Times New Roman" w:eastAsia="仿宋"/>
          <w:color w:val="auto"/>
          <w:sz w:val="28"/>
          <w:szCs w:val="28"/>
        </w:rPr>
        <w:t>图6：一般公共预算财政拨款支出决算结构</w:t>
      </w:r>
    </w:p>
    <w:p>
      <w:pPr>
        <w:spacing w:line="600" w:lineRule="exact"/>
        <w:ind w:firstLine="643" w:firstLineChars="200"/>
        <w:outlineLvl w:val="2"/>
        <w:rPr>
          <w:rFonts w:ascii="Times New Roman" w:hAnsi="Times New Roman" w:eastAsia="仿宋"/>
          <w:b/>
          <w:sz w:val="32"/>
          <w:szCs w:val="32"/>
        </w:rPr>
      </w:pPr>
      <w:r>
        <w:rPr>
          <w:rFonts w:hint="eastAsia" w:ascii="Times New Roman" w:hAnsi="Times New Roman" w:eastAsia="仿宋"/>
          <w:b/>
          <w:sz w:val="32"/>
          <w:szCs w:val="32"/>
        </w:rPr>
        <w:t>（三）一般公共预算财政拨款支出决算具体情况</w:t>
      </w:r>
      <w:bookmarkEnd w:id="30"/>
    </w:p>
    <w:p>
      <w:pPr>
        <w:spacing w:line="600" w:lineRule="exact"/>
        <w:ind w:firstLine="643" w:firstLineChars="200"/>
        <w:outlineLvl w:val="2"/>
        <w:rPr>
          <w:rFonts w:ascii="Times New Roman" w:hAnsi="Times New Roman" w:eastAsia="仿宋"/>
          <w:sz w:val="32"/>
          <w:szCs w:val="32"/>
        </w:rPr>
      </w:pPr>
      <w:bookmarkStart w:id="31" w:name="_Toc15378460"/>
      <w:bookmarkStart w:id="32" w:name="_Toc15377444"/>
      <w:bookmarkStart w:id="33" w:name="_Toc15377213"/>
      <w:r>
        <w:rPr>
          <w:rFonts w:hint="eastAsia" w:ascii="Times New Roman" w:hAnsi="Times New Roman" w:eastAsia="仿宋"/>
          <w:b/>
          <w:sz w:val="32"/>
          <w:szCs w:val="32"/>
        </w:rPr>
        <w:t>2022年一般公共预算支出决算数为</w:t>
      </w:r>
      <w:r>
        <w:rPr>
          <w:rFonts w:hint="eastAsia" w:ascii="Times New Roman" w:hAnsi="Times New Roman" w:eastAsia="仿宋"/>
          <w:b/>
          <w:sz w:val="32"/>
          <w:szCs w:val="32"/>
          <w:lang w:val="en-US" w:eastAsia="zh-CN"/>
        </w:rPr>
        <w:t>3697.00万元</w:t>
      </w:r>
      <w:r>
        <w:rPr>
          <w:rFonts w:hint="eastAsia" w:ascii="Times New Roman" w:hAnsi="Times New Roman" w:eastAsia="仿宋"/>
          <w:sz w:val="32"/>
          <w:szCs w:val="32"/>
        </w:rPr>
        <w:t>，</w:t>
      </w:r>
      <w:r>
        <w:rPr>
          <w:rStyle w:val="19"/>
          <w:rFonts w:hint="eastAsia" w:ascii="Times New Roman" w:hAnsi="Times New Roman" w:eastAsia="仿宋"/>
          <w:bCs/>
          <w:sz w:val="32"/>
          <w:szCs w:val="32"/>
        </w:rPr>
        <w:t>完成预算</w:t>
      </w:r>
      <w:r>
        <w:rPr>
          <w:rStyle w:val="19"/>
          <w:rFonts w:hint="eastAsia" w:ascii="Times New Roman" w:hAnsi="Times New Roman" w:eastAsia="仿宋"/>
          <w:bCs/>
          <w:sz w:val="32"/>
          <w:szCs w:val="32"/>
          <w:lang w:val="en-US" w:eastAsia="zh-CN"/>
        </w:rPr>
        <w:t>100</w:t>
      </w:r>
      <w:r>
        <w:rPr>
          <w:rStyle w:val="19"/>
          <w:rFonts w:ascii="Times New Roman" w:hAnsi="Times New Roman" w:eastAsia="仿宋"/>
          <w:bCs/>
          <w:sz w:val="32"/>
          <w:szCs w:val="32"/>
        </w:rPr>
        <w:t>%</w:t>
      </w:r>
      <w:r>
        <w:rPr>
          <w:rStyle w:val="19"/>
          <w:rFonts w:hint="eastAsia" w:ascii="Times New Roman" w:hAnsi="Times New Roman" w:eastAsia="仿宋"/>
          <w:bCs/>
          <w:sz w:val="32"/>
          <w:szCs w:val="32"/>
        </w:rPr>
        <w:t>。其中：</w:t>
      </w:r>
      <w:bookmarkEnd w:id="31"/>
      <w:bookmarkEnd w:id="32"/>
      <w:bookmarkEnd w:id="33"/>
    </w:p>
    <w:p>
      <w:pPr>
        <w:spacing w:line="600" w:lineRule="exact"/>
        <w:ind w:firstLine="643" w:firstLineChars="200"/>
        <w:rPr>
          <w:rFonts w:ascii="Times New Roman" w:hAnsi="Times New Roman" w:eastAsia="仿宋"/>
          <w:b/>
          <w:sz w:val="32"/>
          <w:szCs w:val="32"/>
        </w:rPr>
      </w:pPr>
      <w:r>
        <w:rPr>
          <w:rStyle w:val="19"/>
          <w:rFonts w:ascii="Times New Roman" w:hAnsi="Times New Roman" w:eastAsia="仿宋"/>
          <w:bCs/>
          <w:sz w:val="32"/>
          <w:szCs w:val="32"/>
        </w:rPr>
        <w:t>1.</w:t>
      </w:r>
      <w:r>
        <w:rPr>
          <w:rStyle w:val="19"/>
          <w:rFonts w:hint="eastAsia" w:ascii="Times New Roman" w:hAnsi="Times New Roman" w:eastAsia="仿宋"/>
          <w:bCs/>
          <w:sz w:val="32"/>
          <w:szCs w:val="32"/>
        </w:rPr>
        <w:t>一般公共服务（类）</w:t>
      </w:r>
      <w:r>
        <w:rPr>
          <w:rStyle w:val="19"/>
          <w:rFonts w:hint="eastAsia" w:ascii="Times New Roman" w:hAnsi="Times New Roman" w:eastAsia="仿宋"/>
          <w:bCs/>
          <w:sz w:val="32"/>
          <w:szCs w:val="32"/>
          <w:lang w:val="en-US" w:eastAsia="zh-CN"/>
        </w:rPr>
        <w:t>组织事务</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val="en-US" w:eastAsia="zh-CN"/>
        </w:rPr>
        <w:t>其他组织事务支出</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1.54</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p>
    <w:p>
      <w:pPr>
        <w:spacing w:line="600" w:lineRule="exact"/>
        <w:ind w:firstLine="643" w:firstLineChars="200"/>
        <w:rPr>
          <w:rStyle w:val="19"/>
          <w:rFonts w:hint="eastAsia" w:ascii="Times New Roman" w:hAnsi="Times New Roman" w:eastAsia="仿宋"/>
          <w:b w:val="0"/>
          <w:bCs/>
          <w:sz w:val="32"/>
          <w:szCs w:val="32"/>
        </w:rPr>
      </w:pPr>
      <w:r>
        <w:rPr>
          <w:rStyle w:val="19"/>
          <w:rFonts w:hint="eastAsia" w:ascii="Times New Roman" w:hAnsi="Times New Roman" w:eastAsia="仿宋"/>
          <w:bCs/>
          <w:sz w:val="32"/>
          <w:szCs w:val="32"/>
          <w:lang w:val="en-US" w:eastAsia="zh-CN"/>
        </w:rPr>
        <w:t>2</w:t>
      </w:r>
      <w:r>
        <w:rPr>
          <w:rStyle w:val="19"/>
          <w:rFonts w:ascii="Times New Roman" w:hAnsi="Times New Roman" w:eastAsia="仿宋"/>
          <w:bCs/>
          <w:sz w:val="32"/>
          <w:szCs w:val="32"/>
        </w:rPr>
        <w:t>.</w:t>
      </w:r>
      <w:r>
        <w:rPr>
          <w:rStyle w:val="19"/>
          <w:rFonts w:hint="eastAsia" w:ascii="Times New Roman" w:hAnsi="Times New Roman" w:eastAsia="仿宋"/>
          <w:bCs/>
          <w:sz w:val="32"/>
          <w:szCs w:val="32"/>
        </w:rPr>
        <w:t>科学技术（类）</w:t>
      </w:r>
      <w:r>
        <w:rPr>
          <w:rStyle w:val="19"/>
          <w:rFonts w:hint="eastAsia" w:ascii="Times New Roman" w:hAnsi="Times New Roman" w:eastAsia="仿宋"/>
          <w:bCs/>
          <w:sz w:val="32"/>
          <w:szCs w:val="32"/>
          <w:lang w:eastAsia="zh-CN"/>
        </w:rPr>
        <w:t>应用研究</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社会公益研究</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95.97</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Style w:val="19"/>
          <w:rFonts w:hint="eastAsia" w:ascii="Times New Roman" w:hAnsi="Times New Roman" w:eastAsia="仿宋"/>
          <w:bCs/>
          <w:sz w:val="32"/>
          <w:szCs w:val="32"/>
        </w:rPr>
        <w:t>科学技术（类）</w:t>
      </w:r>
      <w:r>
        <w:rPr>
          <w:rStyle w:val="19"/>
          <w:rFonts w:hint="eastAsia" w:ascii="Times New Roman" w:hAnsi="Times New Roman" w:eastAsia="仿宋"/>
          <w:bCs/>
          <w:sz w:val="32"/>
          <w:szCs w:val="32"/>
          <w:lang w:eastAsia="zh-CN"/>
        </w:rPr>
        <w:t>技术研究与开发</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科技成果转化与扩散</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24.85</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Style w:val="19"/>
          <w:rFonts w:hint="eastAsia" w:ascii="Times New Roman" w:hAnsi="Times New Roman" w:eastAsia="仿宋"/>
          <w:bCs/>
          <w:sz w:val="32"/>
          <w:szCs w:val="32"/>
        </w:rPr>
        <w:t>科学技术（类）</w:t>
      </w:r>
      <w:r>
        <w:rPr>
          <w:rStyle w:val="19"/>
          <w:rFonts w:hint="eastAsia" w:ascii="Times New Roman" w:hAnsi="Times New Roman" w:eastAsia="仿宋"/>
          <w:bCs/>
          <w:sz w:val="32"/>
          <w:szCs w:val="32"/>
          <w:lang w:eastAsia="zh-CN"/>
        </w:rPr>
        <w:t>其他科学技术支出</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其他科学技术支出</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88.00</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p>
    <w:p>
      <w:pPr>
        <w:spacing w:line="600" w:lineRule="exact"/>
        <w:ind w:firstLine="643" w:firstLineChars="200"/>
        <w:rPr>
          <w:rStyle w:val="19"/>
          <w:rFonts w:hint="eastAsia" w:ascii="Times New Roman" w:hAnsi="Times New Roman" w:eastAsia="仿宋"/>
          <w:b w:val="0"/>
          <w:bCs/>
          <w:sz w:val="32"/>
          <w:szCs w:val="32"/>
        </w:rPr>
      </w:pPr>
      <w:r>
        <w:rPr>
          <w:rStyle w:val="19"/>
          <w:rFonts w:hint="eastAsia" w:ascii="Times New Roman" w:hAnsi="Times New Roman" w:eastAsia="仿宋"/>
          <w:bCs/>
          <w:sz w:val="32"/>
          <w:szCs w:val="32"/>
          <w:lang w:val="en-US" w:eastAsia="zh-CN"/>
        </w:rPr>
        <w:t>3</w:t>
      </w:r>
      <w:r>
        <w:rPr>
          <w:rStyle w:val="19"/>
          <w:rFonts w:ascii="Times New Roman" w:hAnsi="Times New Roman" w:eastAsia="仿宋"/>
          <w:bCs/>
          <w:sz w:val="32"/>
          <w:szCs w:val="32"/>
        </w:rPr>
        <w:t>.</w:t>
      </w:r>
      <w:r>
        <w:rPr>
          <w:rStyle w:val="19"/>
          <w:rFonts w:hint="eastAsia" w:ascii="Times New Roman" w:hAnsi="Times New Roman" w:eastAsia="仿宋"/>
          <w:bCs/>
          <w:sz w:val="32"/>
          <w:szCs w:val="32"/>
        </w:rPr>
        <w:t>社会保障和就业（类）</w:t>
      </w:r>
      <w:r>
        <w:rPr>
          <w:rStyle w:val="19"/>
          <w:rFonts w:hint="eastAsia" w:ascii="Times New Roman" w:hAnsi="Times New Roman" w:eastAsia="仿宋"/>
          <w:bCs/>
          <w:sz w:val="32"/>
          <w:szCs w:val="32"/>
          <w:lang w:eastAsia="zh-CN"/>
        </w:rPr>
        <w:t>行政事业单位养老支出</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事业单位离退休</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331.43</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lang w:eastAsia="zh-CN"/>
        </w:rPr>
        <w:t>。</w:t>
      </w:r>
      <w:r>
        <w:rPr>
          <w:rStyle w:val="19"/>
          <w:rFonts w:hint="eastAsia" w:ascii="Times New Roman" w:hAnsi="Times New Roman" w:eastAsia="仿宋"/>
          <w:bCs/>
          <w:sz w:val="32"/>
          <w:szCs w:val="32"/>
        </w:rPr>
        <w:t>社会保障和就业（类）</w:t>
      </w:r>
      <w:r>
        <w:rPr>
          <w:rStyle w:val="19"/>
          <w:rFonts w:hint="eastAsia" w:ascii="Times New Roman" w:hAnsi="Times New Roman" w:eastAsia="仿宋"/>
          <w:bCs/>
          <w:sz w:val="32"/>
          <w:szCs w:val="32"/>
          <w:lang w:eastAsia="zh-CN"/>
        </w:rPr>
        <w:t>行政事业单位养老支出</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机关事业单位基本养老保险缴费支出</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186.44</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Style w:val="19"/>
          <w:rFonts w:hint="eastAsia" w:ascii="Times New Roman" w:hAnsi="Times New Roman" w:eastAsia="仿宋"/>
          <w:bCs/>
          <w:sz w:val="32"/>
          <w:szCs w:val="32"/>
        </w:rPr>
        <w:t>社会保障和就业（类）</w:t>
      </w:r>
      <w:r>
        <w:rPr>
          <w:rStyle w:val="19"/>
          <w:rFonts w:hint="eastAsia" w:ascii="Times New Roman" w:hAnsi="Times New Roman" w:eastAsia="仿宋"/>
          <w:bCs/>
          <w:sz w:val="32"/>
          <w:szCs w:val="32"/>
          <w:lang w:eastAsia="zh-CN"/>
        </w:rPr>
        <w:t>抚恤</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死亡抚恤</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20.28</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Style w:val="19"/>
          <w:rFonts w:hint="eastAsia" w:ascii="Times New Roman" w:hAnsi="Times New Roman" w:eastAsia="仿宋"/>
          <w:bCs/>
          <w:sz w:val="32"/>
          <w:szCs w:val="32"/>
        </w:rPr>
        <w:t>社会保障和就业（类）</w:t>
      </w:r>
      <w:r>
        <w:rPr>
          <w:rStyle w:val="19"/>
          <w:rFonts w:hint="eastAsia" w:ascii="Times New Roman" w:hAnsi="Times New Roman" w:eastAsia="仿宋"/>
          <w:bCs/>
          <w:sz w:val="32"/>
          <w:szCs w:val="32"/>
          <w:lang w:eastAsia="zh-CN"/>
        </w:rPr>
        <w:t>社会福利</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儿童福利</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0.02</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p>
    <w:p>
      <w:pPr>
        <w:spacing w:line="600" w:lineRule="exact"/>
        <w:ind w:firstLine="643" w:firstLineChars="200"/>
        <w:rPr>
          <w:rFonts w:hint="eastAsia" w:ascii="Times New Roman" w:hAnsi="Times New Roman"/>
          <w:lang w:val="en-US" w:eastAsia="zh-CN"/>
        </w:rPr>
      </w:pPr>
      <w:r>
        <w:rPr>
          <w:rStyle w:val="19"/>
          <w:rFonts w:hint="eastAsia" w:ascii="Times New Roman" w:hAnsi="Times New Roman" w:eastAsia="仿宋"/>
          <w:bCs/>
          <w:sz w:val="32"/>
          <w:szCs w:val="32"/>
          <w:lang w:val="en-US" w:eastAsia="zh-CN"/>
        </w:rPr>
        <w:t>4</w:t>
      </w:r>
      <w:r>
        <w:rPr>
          <w:rStyle w:val="19"/>
          <w:rFonts w:ascii="Times New Roman" w:hAnsi="Times New Roman" w:eastAsia="仿宋"/>
          <w:bCs/>
          <w:sz w:val="32"/>
          <w:szCs w:val="32"/>
        </w:rPr>
        <w:t>.</w:t>
      </w:r>
      <w:r>
        <w:rPr>
          <w:rStyle w:val="19"/>
          <w:rFonts w:hint="eastAsia" w:ascii="Times New Roman" w:hAnsi="Times New Roman" w:eastAsia="仿宋"/>
          <w:bCs/>
          <w:sz w:val="32"/>
          <w:szCs w:val="32"/>
          <w:lang w:eastAsia="zh-CN"/>
        </w:rPr>
        <w:t>住房保障支出</w:t>
      </w:r>
      <w:r>
        <w:rPr>
          <w:rStyle w:val="19"/>
          <w:rFonts w:hint="eastAsia" w:ascii="Times New Roman" w:hAnsi="Times New Roman" w:eastAsia="仿宋"/>
          <w:bCs/>
          <w:sz w:val="32"/>
          <w:szCs w:val="32"/>
        </w:rPr>
        <w:t>（类）</w:t>
      </w:r>
      <w:r>
        <w:rPr>
          <w:rStyle w:val="19"/>
          <w:rFonts w:hint="eastAsia" w:ascii="Times New Roman" w:hAnsi="Times New Roman" w:eastAsia="仿宋"/>
          <w:bCs/>
          <w:sz w:val="32"/>
          <w:szCs w:val="32"/>
          <w:lang w:val="en-US" w:eastAsia="zh-CN"/>
        </w:rPr>
        <w:t>住房改革支出</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住房公积金</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ascii="Times New Roman" w:hAnsi="Times New Roman" w:eastAsia="仿宋"/>
          <w:b w:val="0"/>
          <w:bCs/>
          <w:sz w:val="32"/>
          <w:szCs w:val="32"/>
        </w:rPr>
        <w:t xml:space="preserve"> </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b w:val="0"/>
          <w:bCs/>
          <w:sz w:val="32"/>
          <w:szCs w:val="32"/>
          <w:lang w:val="en-US" w:eastAsia="zh-CN"/>
        </w:rPr>
        <w:t>198.82</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p>
    <w:p>
      <w:pPr>
        <w:spacing w:line="600" w:lineRule="exact"/>
        <w:ind w:firstLine="643" w:firstLineChars="200"/>
        <w:rPr>
          <w:rFonts w:ascii="Times New Roman" w:hAnsi="Times New Roman" w:eastAsia="仿宋"/>
          <w:b/>
          <w:sz w:val="32"/>
          <w:szCs w:val="32"/>
        </w:rPr>
      </w:pPr>
      <w:r>
        <w:rPr>
          <w:rStyle w:val="19"/>
          <w:rFonts w:hint="eastAsia" w:ascii="Times New Roman" w:hAnsi="Times New Roman" w:eastAsia="仿宋"/>
          <w:bCs/>
          <w:sz w:val="32"/>
          <w:szCs w:val="32"/>
          <w:lang w:val="en-US" w:eastAsia="zh-CN"/>
        </w:rPr>
        <w:t>5</w:t>
      </w:r>
      <w:r>
        <w:rPr>
          <w:rStyle w:val="19"/>
          <w:rFonts w:ascii="Times New Roman" w:hAnsi="Times New Roman" w:eastAsia="仿宋"/>
          <w:bCs/>
          <w:sz w:val="32"/>
          <w:szCs w:val="32"/>
        </w:rPr>
        <w:t>.</w:t>
      </w:r>
      <w:r>
        <w:rPr>
          <w:rFonts w:hint="eastAsia" w:ascii="Times New Roman" w:hAnsi="Times New Roman" w:eastAsia="仿宋"/>
          <w:b/>
          <w:bCs/>
          <w:sz w:val="32"/>
          <w:szCs w:val="32"/>
          <w:lang w:eastAsia="zh-CN"/>
        </w:rPr>
        <w:t>农林水支出</w:t>
      </w:r>
      <w:r>
        <w:rPr>
          <w:rStyle w:val="19"/>
          <w:rFonts w:hint="eastAsia" w:ascii="Times New Roman" w:hAnsi="Times New Roman" w:eastAsia="仿宋"/>
          <w:bCs/>
          <w:sz w:val="32"/>
          <w:szCs w:val="32"/>
        </w:rPr>
        <w:t>（类）</w:t>
      </w:r>
      <w:r>
        <w:rPr>
          <w:rStyle w:val="19"/>
          <w:rFonts w:hint="eastAsia" w:ascii="Times New Roman" w:hAnsi="Times New Roman" w:eastAsia="仿宋"/>
          <w:bCs/>
          <w:sz w:val="32"/>
          <w:szCs w:val="32"/>
          <w:lang w:eastAsia="zh-CN"/>
        </w:rPr>
        <w:t>农业农村</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事业运行</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cstheme="minorBidi"/>
          <w:b w:val="0"/>
          <w:bCs/>
          <w:sz w:val="32"/>
          <w:szCs w:val="32"/>
          <w:lang w:val="en-US" w:eastAsia="zh-CN"/>
        </w:rPr>
        <w:t>2136.50</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
          <w:b/>
          <w:bCs/>
          <w:sz w:val="32"/>
          <w:szCs w:val="32"/>
          <w:lang w:eastAsia="zh-CN"/>
        </w:rPr>
        <w:t>农林水支出</w:t>
      </w:r>
      <w:r>
        <w:rPr>
          <w:rStyle w:val="19"/>
          <w:rFonts w:hint="eastAsia" w:ascii="Times New Roman" w:hAnsi="Times New Roman" w:eastAsia="仿宋"/>
          <w:bCs/>
          <w:sz w:val="32"/>
          <w:szCs w:val="32"/>
        </w:rPr>
        <w:t>（类）</w:t>
      </w:r>
      <w:r>
        <w:rPr>
          <w:rStyle w:val="19"/>
          <w:rFonts w:hint="eastAsia" w:ascii="Times New Roman" w:hAnsi="Times New Roman" w:eastAsia="仿宋"/>
          <w:bCs/>
          <w:sz w:val="32"/>
          <w:szCs w:val="32"/>
          <w:lang w:eastAsia="zh-CN"/>
        </w:rPr>
        <w:t>农业农村</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科技转化与推广服务</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cstheme="minorBidi"/>
          <w:b w:val="0"/>
          <w:bCs/>
          <w:sz w:val="32"/>
          <w:szCs w:val="32"/>
          <w:lang w:val="en-US" w:eastAsia="zh-CN"/>
        </w:rPr>
        <w:t>73.05</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
          <w:b/>
          <w:bCs/>
          <w:sz w:val="32"/>
          <w:szCs w:val="32"/>
          <w:lang w:eastAsia="zh-CN"/>
        </w:rPr>
        <w:t>农林水支出</w:t>
      </w:r>
      <w:r>
        <w:rPr>
          <w:rStyle w:val="19"/>
          <w:rFonts w:hint="eastAsia" w:ascii="Times New Roman" w:hAnsi="Times New Roman" w:eastAsia="仿宋"/>
          <w:bCs/>
          <w:sz w:val="32"/>
          <w:szCs w:val="32"/>
        </w:rPr>
        <w:t>（类）</w:t>
      </w:r>
      <w:r>
        <w:rPr>
          <w:rStyle w:val="19"/>
          <w:rFonts w:hint="eastAsia" w:ascii="Times New Roman" w:hAnsi="Times New Roman" w:eastAsia="仿宋"/>
          <w:bCs/>
          <w:sz w:val="32"/>
          <w:szCs w:val="32"/>
          <w:lang w:eastAsia="zh-CN"/>
        </w:rPr>
        <w:t>农业农村</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其他农业农村支出</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cstheme="minorBidi"/>
          <w:b w:val="0"/>
          <w:bCs/>
          <w:sz w:val="32"/>
          <w:szCs w:val="32"/>
          <w:lang w:val="en-US" w:eastAsia="zh-CN"/>
        </w:rPr>
        <w:t>311.52</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
          <w:b/>
          <w:bCs/>
          <w:sz w:val="32"/>
          <w:szCs w:val="32"/>
          <w:lang w:eastAsia="zh-CN"/>
        </w:rPr>
        <w:t>农林水支出</w:t>
      </w:r>
      <w:r>
        <w:rPr>
          <w:rStyle w:val="19"/>
          <w:rFonts w:hint="eastAsia" w:ascii="Times New Roman" w:hAnsi="Times New Roman" w:eastAsia="仿宋"/>
          <w:bCs/>
          <w:sz w:val="32"/>
          <w:szCs w:val="32"/>
        </w:rPr>
        <w:t>（类）</w:t>
      </w:r>
      <w:r>
        <w:rPr>
          <w:rStyle w:val="19"/>
          <w:rFonts w:hint="eastAsia" w:ascii="Times New Roman" w:hAnsi="Times New Roman" w:eastAsia="仿宋"/>
          <w:bCs/>
          <w:sz w:val="32"/>
          <w:szCs w:val="32"/>
          <w:lang w:eastAsia="zh-CN"/>
        </w:rPr>
        <w:t>林业和草原</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技术推广与转化</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cstheme="minorBidi"/>
          <w:b w:val="0"/>
          <w:bCs/>
          <w:sz w:val="32"/>
          <w:szCs w:val="32"/>
          <w:lang w:val="en-US" w:eastAsia="zh-CN"/>
        </w:rPr>
        <w:t>27.59</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
          <w:b/>
          <w:bCs/>
          <w:sz w:val="32"/>
          <w:szCs w:val="32"/>
          <w:lang w:eastAsia="zh-CN"/>
        </w:rPr>
        <w:t>农林水支出</w:t>
      </w:r>
      <w:r>
        <w:rPr>
          <w:rStyle w:val="19"/>
          <w:rFonts w:hint="eastAsia" w:ascii="Times New Roman" w:hAnsi="Times New Roman" w:eastAsia="仿宋"/>
          <w:bCs/>
          <w:sz w:val="32"/>
          <w:szCs w:val="32"/>
        </w:rPr>
        <w:t>（类）</w:t>
      </w:r>
      <w:r>
        <w:rPr>
          <w:rStyle w:val="19"/>
          <w:rFonts w:hint="eastAsia" w:ascii="Times New Roman" w:hAnsi="Times New Roman" w:eastAsia="仿宋"/>
          <w:bCs/>
          <w:sz w:val="32"/>
          <w:szCs w:val="32"/>
          <w:lang w:eastAsia="zh-CN"/>
        </w:rPr>
        <w:t>林业和草原</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其他林业和草原支出</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cstheme="minorBidi"/>
          <w:b w:val="0"/>
          <w:bCs/>
          <w:sz w:val="32"/>
          <w:szCs w:val="32"/>
          <w:lang w:val="en-US" w:eastAsia="zh-CN"/>
        </w:rPr>
        <w:t>100.99</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
          <w:b/>
          <w:bCs/>
          <w:sz w:val="32"/>
          <w:szCs w:val="32"/>
          <w:lang w:eastAsia="zh-CN"/>
        </w:rPr>
        <w:t>农林水支出</w:t>
      </w:r>
      <w:r>
        <w:rPr>
          <w:rStyle w:val="19"/>
          <w:rFonts w:hint="eastAsia" w:ascii="Times New Roman" w:hAnsi="Times New Roman" w:eastAsia="仿宋"/>
          <w:bCs/>
          <w:sz w:val="32"/>
          <w:szCs w:val="32"/>
        </w:rPr>
        <w:t>（类）</w:t>
      </w:r>
      <w:r>
        <w:rPr>
          <w:rStyle w:val="19"/>
          <w:rFonts w:hint="eastAsia" w:ascii="Times New Roman" w:hAnsi="Times New Roman" w:eastAsia="仿宋"/>
          <w:bCs/>
          <w:sz w:val="32"/>
          <w:szCs w:val="32"/>
          <w:lang w:eastAsia="zh-CN"/>
        </w:rPr>
        <w:t>巩固脱贫衔接乡村振兴</w:t>
      </w:r>
      <w:r>
        <w:rPr>
          <w:rStyle w:val="19"/>
          <w:rFonts w:hint="eastAsia" w:ascii="Times New Roman" w:hAnsi="Times New Roman" w:eastAsia="仿宋"/>
          <w:bCs/>
          <w:sz w:val="32"/>
          <w:szCs w:val="32"/>
        </w:rPr>
        <w:t>（款）</w:t>
      </w:r>
      <w:r>
        <w:rPr>
          <w:rStyle w:val="19"/>
          <w:rFonts w:hint="eastAsia" w:ascii="Times New Roman" w:hAnsi="Times New Roman" w:eastAsia="仿宋"/>
          <w:bCs/>
          <w:sz w:val="32"/>
          <w:szCs w:val="32"/>
          <w:lang w:eastAsia="zh-CN"/>
        </w:rPr>
        <w:t>其他巩固脱贫衔接乡村振兴支出</w:t>
      </w:r>
      <w:r>
        <w:rPr>
          <w:rStyle w:val="19"/>
          <w:rFonts w:hint="eastAsia" w:ascii="Times New Roman" w:hAnsi="Times New Roman" w:eastAsia="仿宋"/>
          <w:bCs/>
          <w:sz w:val="32"/>
          <w:szCs w:val="32"/>
        </w:rPr>
        <w:t>（项）</w:t>
      </w:r>
      <w:r>
        <w:rPr>
          <w:rStyle w:val="19"/>
          <w:rFonts w:ascii="Times New Roman" w:hAnsi="Times New Roman" w:eastAsia="仿宋"/>
          <w:bCs/>
          <w:sz w:val="32"/>
          <w:szCs w:val="32"/>
        </w:rPr>
        <w:t>:</w:t>
      </w:r>
      <w:r>
        <w:rPr>
          <w:rStyle w:val="19"/>
          <w:rFonts w:hint="eastAsia" w:ascii="Times New Roman" w:hAnsi="Times New Roman" w:eastAsia="仿宋"/>
          <w:b w:val="0"/>
          <w:bCs/>
          <w:sz w:val="32"/>
          <w:szCs w:val="32"/>
        </w:rPr>
        <w:t>支出决算为</w:t>
      </w:r>
      <w:r>
        <w:rPr>
          <w:rStyle w:val="19"/>
          <w:rFonts w:hint="eastAsia" w:ascii="Times New Roman" w:hAnsi="Times New Roman" w:eastAsia="仿宋" w:cstheme="minorBidi"/>
          <w:b w:val="0"/>
          <w:bCs/>
          <w:sz w:val="32"/>
          <w:szCs w:val="32"/>
          <w:lang w:val="en-US" w:eastAsia="zh-CN"/>
        </w:rPr>
        <w:t>100</w:t>
      </w:r>
      <w:r>
        <w:rPr>
          <w:rStyle w:val="19"/>
          <w:rFonts w:hint="eastAsia" w:ascii="Times New Roman" w:hAnsi="Times New Roman" w:eastAsia="仿宋"/>
          <w:b w:val="0"/>
          <w:bCs/>
          <w:sz w:val="32"/>
          <w:szCs w:val="32"/>
        </w:rPr>
        <w:t>万元，完成预算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p>
    <w:p>
      <w:pPr>
        <w:tabs>
          <w:tab w:val="right" w:pos="8306"/>
        </w:tabs>
        <w:spacing w:line="600" w:lineRule="exact"/>
        <w:ind w:firstLine="640"/>
        <w:outlineLvl w:val="1"/>
        <w:rPr>
          <w:rStyle w:val="33"/>
          <w:rFonts w:ascii="Times New Roman" w:hAnsi="Times New Roman"/>
        </w:rPr>
      </w:pPr>
      <w:bookmarkStart w:id="34" w:name="_Toc15396608"/>
      <w:bookmarkStart w:id="35" w:name="_Toc15377214"/>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33"/>
          <w:rFonts w:hint="eastAsia" w:ascii="Times New Roman" w:hAnsi="Times New Roman" w:eastAsia="黑体"/>
          <w:b w:val="0"/>
        </w:rPr>
        <w:t>般公共预算财政拨款基本支出决算情况说明</w:t>
      </w:r>
      <w:bookmarkEnd w:id="34"/>
      <w:bookmarkEnd w:id="35"/>
      <w:r>
        <w:rPr>
          <w:rStyle w:val="33"/>
          <w:rFonts w:ascii="Times New Roman" w:hAnsi="Times New Roman" w:eastAsia="黑体"/>
          <w:b w:val="0"/>
        </w:rPr>
        <w:tab/>
      </w:r>
    </w:p>
    <w:p>
      <w:pPr>
        <w:spacing w:line="600" w:lineRule="exact"/>
        <w:ind w:firstLine="645"/>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22年一般公共预算财政拨款基本支出</w:t>
      </w:r>
      <w:r>
        <w:rPr>
          <w:rFonts w:hint="eastAsia" w:ascii="Times New Roman" w:hAnsi="Times New Roman" w:eastAsia="仿宋"/>
          <w:sz w:val="32"/>
          <w:szCs w:val="32"/>
          <w:lang w:val="en-US" w:eastAsia="zh-CN"/>
        </w:rPr>
        <w:t>2873.47</w:t>
      </w:r>
      <w:r>
        <w:rPr>
          <w:rFonts w:hint="eastAsia" w:ascii="Times New Roman" w:hAnsi="Times New Roman" w:eastAsia="仿宋"/>
          <w:sz w:val="32"/>
          <w:szCs w:val="32"/>
        </w:rPr>
        <w:t>万元，其中：</w:t>
      </w:r>
    </w:p>
    <w:p>
      <w:pPr>
        <w:spacing w:line="600" w:lineRule="exact"/>
        <w:ind w:firstLine="645"/>
        <w:rPr>
          <w:rFonts w:ascii="Times New Roman" w:hAnsi="Times New Roman" w:eastAsia="仿宋"/>
          <w:sz w:val="32"/>
          <w:szCs w:val="32"/>
        </w:rPr>
      </w:pPr>
      <w:r>
        <w:rPr>
          <w:rFonts w:hint="eastAsia" w:ascii="Times New Roman" w:hAnsi="Times New Roman" w:eastAsia="仿宋"/>
          <w:sz w:val="32"/>
          <w:szCs w:val="32"/>
        </w:rPr>
        <w:t>人员经费</w:t>
      </w:r>
      <w:r>
        <w:rPr>
          <w:rFonts w:hint="eastAsia" w:ascii="Times New Roman" w:hAnsi="Times New Roman" w:eastAsia="仿宋"/>
          <w:sz w:val="32"/>
          <w:szCs w:val="32"/>
          <w:lang w:val="en-US" w:eastAsia="zh-CN"/>
        </w:rPr>
        <w:t>2661.41</w:t>
      </w:r>
      <w:r>
        <w:rPr>
          <w:rFonts w:hint="eastAsia" w:ascii="Times New Roman" w:hAnsi="Times New Roman" w:eastAsia="仿宋"/>
          <w:sz w:val="32"/>
          <w:szCs w:val="32"/>
        </w:rPr>
        <w:t>万元，主要包括：基本工资</w:t>
      </w:r>
      <w:r>
        <w:rPr>
          <w:rFonts w:hint="eastAsia" w:ascii="Times New Roman" w:hAnsi="Times New Roman" w:eastAsia="仿宋"/>
          <w:sz w:val="32"/>
          <w:szCs w:val="32"/>
          <w:lang w:val="en-US" w:eastAsia="zh-CN"/>
        </w:rPr>
        <w:t>649.25万元</w:t>
      </w:r>
      <w:r>
        <w:rPr>
          <w:rFonts w:hint="eastAsia" w:ascii="Times New Roman" w:hAnsi="Times New Roman" w:eastAsia="仿宋"/>
          <w:sz w:val="32"/>
          <w:szCs w:val="32"/>
        </w:rPr>
        <w:t>、津贴补贴</w:t>
      </w:r>
      <w:r>
        <w:rPr>
          <w:rFonts w:hint="eastAsia" w:ascii="Times New Roman" w:hAnsi="Times New Roman" w:eastAsia="仿宋"/>
          <w:sz w:val="32"/>
          <w:szCs w:val="32"/>
          <w:lang w:val="en-US" w:eastAsia="zh-CN"/>
        </w:rPr>
        <w:t>115.29万元</w:t>
      </w:r>
      <w:r>
        <w:rPr>
          <w:rFonts w:hint="eastAsia" w:ascii="Times New Roman" w:hAnsi="Times New Roman" w:eastAsia="仿宋"/>
          <w:sz w:val="32"/>
          <w:szCs w:val="32"/>
        </w:rPr>
        <w:t>、奖金</w:t>
      </w:r>
      <w:r>
        <w:rPr>
          <w:rFonts w:hint="eastAsia" w:ascii="Times New Roman" w:hAnsi="Times New Roman" w:eastAsia="仿宋"/>
          <w:sz w:val="32"/>
          <w:szCs w:val="32"/>
          <w:lang w:val="en-US" w:eastAsia="zh-CN"/>
        </w:rPr>
        <w:t>3.2万元</w:t>
      </w:r>
      <w:r>
        <w:rPr>
          <w:rFonts w:hint="eastAsia" w:ascii="Times New Roman" w:hAnsi="Times New Roman" w:eastAsia="仿宋"/>
          <w:sz w:val="32"/>
          <w:szCs w:val="32"/>
        </w:rPr>
        <w:t>、伙食补助费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、绩效工资</w:t>
      </w:r>
      <w:r>
        <w:rPr>
          <w:rFonts w:hint="eastAsia" w:ascii="Times New Roman" w:hAnsi="Times New Roman" w:eastAsia="仿宋"/>
          <w:sz w:val="32"/>
          <w:szCs w:val="32"/>
          <w:lang w:val="en-US" w:eastAsia="zh-CN"/>
        </w:rPr>
        <w:t>852.50万元</w:t>
      </w:r>
      <w:r>
        <w:rPr>
          <w:rFonts w:hint="eastAsia" w:ascii="Times New Roman" w:hAnsi="Times New Roman" w:eastAsia="仿宋"/>
          <w:sz w:val="32"/>
          <w:szCs w:val="32"/>
        </w:rPr>
        <w:t>、机关事业单位基本养老保险缴费</w:t>
      </w:r>
      <w:r>
        <w:rPr>
          <w:rFonts w:hint="eastAsia" w:ascii="Times New Roman" w:hAnsi="Times New Roman" w:eastAsia="仿宋"/>
          <w:sz w:val="32"/>
          <w:szCs w:val="32"/>
          <w:lang w:val="en-US" w:eastAsia="zh-CN"/>
        </w:rPr>
        <w:t>186.44万元</w:t>
      </w:r>
      <w:r>
        <w:rPr>
          <w:rFonts w:hint="eastAsia" w:ascii="Times New Roman" w:hAnsi="Times New Roman" w:eastAsia="仿宋"/>
          <w:sz w:val="32"/>
          <w:szCs w:val="32"/>
        </w:rPr>
        <w:t>、职业年金缴费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w:t>
      </w:r>
      <w:r>
        <w:rPr>
          <w:rFonts w:hint="eastAsia" w:ascii="Times New Roman" w:hAnsi="Times New Roman" w:eastAsia="仿宋"/>
          <w:sz w:val="32"/>
          <w:szCs w:val="32"/>
          <w:lang w:eastAsia="zh-CN"/>
        </w:rPr>
        <w:t>职工基本医疗保险缴费</w:t>
      </w:r>
      <w:r>
        <w:rPr>
          <w:rFonts w:hint="eastAsia" w:ascii="Times New Roman" w:hAnsi="Times New Roman" w:eastAsia="仿宋"/>
          <w:sz w:val="32"/>
          <w:szCs w:val="32"/>
          <w:lang w:val="en-US" w:eastAsia="zh-CN"/>
        </w:rPr>
        <w:t>137.14万元、公务员医疗补助缴费70.55万元、</w:t>
      </w:r>
      <w:r>
        <w:rPr>
          <w:rFonts w:hint="eastAsia" w:ascii="Times New Roman" w:hAnsi="Times New Roman" w:eastAsia="仿宋"/>
          <w:sz w:val="32"/>
          <w:szCs w:val="32"/>
        </w:rPr>
        <w:t>其他社会保障缴费</w:t>
      </w:r>
      <w:r>
        <w:rPr>
          <w:rFonts w:hint="eastAsia" w:ascii="Times New Roman" w:hAnsi="Times New Roman" w:eastAsia="仿宋"/>
          <w:sz w:val="32"/>
          <w:szCs w:val="32"/>
          <w:lang w:val="en-US" w:eastAsia="zh-CN"/>
        </w:rPr>
        <w:t>25.72万元</w:t>
      </w:r>
      <w:r>
        <w:rPr>
          <w:rFonts w:hint="eastAsia" w:ascii="Times New Roman" w:hAnsi="Times New Roman" w:eastAsia="仿宋"/>
          <w:sz w:val="32"/>
          <w:szCs w:val="32"/>
        </w:rPr>
        <w:t>、其他工资福利支出</w:t>
      </w:r>
      <w:r>
        <w:rPr>
          <w:rFonts w:hint="eastAsia" w:ascii="Times New Roman" w:hAnsi="Times New Roman" w:eastAsia="仿宋"/>
          <w:sz w:val="32"/>
          <w:szCs w:val="32"/>
          <w:lang w:val="en-US" w:eastAsia="zh-CN"/>
        </w:rPr>
        <w:t>68.96万元</w:t>
      </w:r>
      <w:r>
        <w:rPr>
          <w:rFonts w:hint="eastAsia" w:ascii="Times New Roman" w:hAnsi="Times New Roman" w:eastAsia="仿宋"/>
          <w:sz w:val="32"/>
          <w:szCs w:val="32"/>
        </w:rPr>
        <w:t>、离休费</w:t>
      </w:r>
      <w:r>
        <w:rPr>
          <w:rFonts w:hint="eastAsia" w:ascii="Times New Roman" w:hAnsi="Times New Roman" w:eastAsia="仿宋"/>
          <w:sz w:val="32"/>
          <w:szCs w:val="32"/>
          <w:lang w:val="en-US" w:eastAsia="zh-CN"/>
        </w:rPr>
        <w:t>14.82万元</w:t>
      </w:r>
      <w:r>
        <w:rPr>
          <w:rFonts w:hint="eastAsia" w:ascii="Times New Roman" w:hAnsi="Times New Roman" w:eastAsia="仿宋"/>
          <w:sz w:val="32"/>
          <w:szCs w:val="32"/>
        </w:rPr>
        <w:t>、退休费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、抚恤金</w:t>
      </w:r>
      <w:r>
        <w:rPr>
          <w:rFonts w:hint="eastAsia" w:ascii="Times New Roman" w:hAnsi="Times New Roman" w:eastAsia="仿宋"/>
          <w:sz w:val="32"/>
          <w:szCs w:val="32"/>
          <w:lang w:val="en-US" w:eastAsia="zh-CN"/>
        </w:rPr>
        <w:t>20.28万元</w:t>
      </w:r>
      <w:r>
        <w:rPr>
          <w:rFonts w:hint="eastAsia" w:ascii="Times New Roman" w:hAnsi="Times New Roman" w:eastAsia="仿宋"/>
          <w:sz w:val="32"/>
          <w:szCs w:val="32"/>
        </w:rPr>
        <w:t>、生活补助</w:t>
      </w:r>
      <w:r>
        <w:rPr>
          <w:rFonts w:hint="eastAsia" w:ascii="Times New Roman" w:hAnsi="Times New Roman" w:eastAsia="仿宋"/>
          <w:sz w:val="32"/>
          <w:szCs w:val="32"/>
          <w:lang w:val="en-US" w:eastAsia="zh-CN"/>
        </w:rPr>
        <w:t>310.60万元</w:t>
      </w:r>
      <w:r>
        <w:rPr>
          <w:rFonts w:hint="eastAsia" w:ascii="Times New Roman" w:hAnsi="Times New Roman" w:eastAsia="仿宋"/>
          <w:sz w:val="32"/>
          <w:szCs w:val="32"/>
        </w:rPr>
        <w:t>、医疗费补助</w:t>
      </w:r>
      <w:r>
        <w:rPr>
          <w:rFonts w:hint="eastAsia" w:ascii="Times New Roman" w:hAnsi="Times New Roman" w:eastAsia="仿宋"/>
          <w:sz w:val="32"/>
          <w:szCs w:val="32"/>
          <w:lang w:val="en-US" w:eastAsia="zh-CN"/>
        </w:rPr>
        <w:t>7.84万元</w:t>
      </w:r>
      <w:r>
        <w:rPr>
          <w:rFonts w:hint="eastAsia" w:ascii="Times New Roman" w:hAnsi="Times New Roman" w:eastAsia="仿宋"/>
          <w:sz w:val="32"/>
          <w:szCs w:val="32"/>
        </w:rPr>
        <w:t>、奖励金</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w:t>
      </w:r>
      <w:r>
        <w:rPr>
          <w:rFonts w:hint="eastAsia" w:ascii="Times New Roman" w:hAnsi="Times New Roman" w:eastAsia="仿宋"/>
          <w:sz w:val="32"/>
          <w:szCs w:val="32"/>
          <w:lang w:eastAsia="zh-CN"/>
        </w:rPr>
        <w:t>住房公积金</w:t>
      </w:r>
      <w:r>
        <w:rPr>
          <w:rFonts w:hint="eastAsia" w:ascii="Times New Roman" w:hAnsi="Times New Roman" w:eastAsia="仿宋"/>
          <w:sz w:val="32"/>
          <w:szCs w:val="32"/>
          <w:lang w:val="en-US" w:eastAsia="zh-CN"/>
        </w:rPr>
        <w:t>198.82万元、</w:t>
      </w:r>
      <w:r>
        <w:rPr>
          <w:rFonts w:hint="eastAsia" w:ascii="Times New Roman" w:hAnsi="Times New Roman" w:eastAsia="仿宋"/>
          <w:sz w:val="32"/>
          <w:szCs w:val="32"/>
        </w:rPr>
        <w:t>其他对个人和家庭的补助支出</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w:t>
      </w:r>
      <w:r>
        <w:rPr>
          <w:rFonts w:ascii="Times New Roman" w:hAnsi="Times New Roman" w:eastAsia="仿宋"/>
          <w:sz w:val="32"/>
          <w:szCs w:val="32"/>
        </w:rPr>
        <w:br w:type="textWrapping"/>
      </w:r>
      <w:r>
        <w:rPr>
          <w:rFonts w:hint="eastAsia" w:ascii="Times New Roman" w:hAnsi="Times New Roman" w:eastAsia="仿宋"/>
          <w:sz w:val="32"/>
          <w:szCs w:val="32"/>
        </w:rPr>
        <w:t>　　公用经费</w:t>
      </w:r>
      <w:r>
        <w:rPr>
          <w:rFonts w:hint="eastAsia" w:ascii="Times New Roman" w:hAnsi="Times New Roman" w:eastAsia="仿宋"/>
          <w:sz w:val="32"/>
          <w:szCs w:val="32"/>
          <w:lang w:val="en-US" w:eastAsia="zh-CN"/>
        </w:rPr>
        <w:t>212.06</w:t>
      </w:r>
      <w:r>
        <w:rPr>
          <w:rFonts w:hint="eastAsia" w:ascii="Times New Roman" w:hAnsi="Times New Roman" w:eastAsia="仿宋"/>
          <w:sz w:val="32"/>
          <w:szCs w:val="32"/>
        </w:rPr>
        <w:t>万元，主要包括：办公费</w:t>
      </w:r>
      <w:r>
        <w:rPr>
          <w:rFonts w:hint="eastAsia" w:ascii="Times New Roman" w:hAnsi="Times New Roman" w:eastAsia="仿宋"/>
          <w:sz w:val="32"/>
          <w:szCs w:val="32"/>
          <w:lang w:val="en-US" w:eastAsia="zh-CN"/>
        </w:rPr>
        <w:t>38.45万元</w:t>
      </w:r>
      <w:r>
        <w:rPr>
          <w:rFonts w:hint="eastAsia" w:ascii="Times New Roman" w:hAnsi="Times New Roman" w:eastAsia="仿宋"/>
          <w:sz w:val="32"/>
          <w:szCs w:val="32"/>
        </w:rPr>
        <w:t>、印刷费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、咨询费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、手续费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、水费</w:t>
      </w:r>
      <w:r>
        <w:rPr>
          <w:rFonts w:hint="eastAsia" w:ascii="Times New Roman" w:hAnsi="Times New Roman" w:eastAsia="仿宋"/>
          <w:sz w:val="32"/>
          <w:szCs w:val="32"/>
          <w:lang w:val="en-US" w:eastAsia="zh-CN"/>
        </w:rPr>
        <w:t>3.58万元</w:t>
      </w:r>
      <w:r>
        <w:rPr>
          <w:rFonts w:hint="eastAsia" w:ascii="Times New Roman" w:hAnsi="Times New Roman" w:eastAsia="仿宋"/>
          <w:sz w:val="32"/>
          <w:szCs w:val="32"/>
        </w:rPr>
        <w:t>、电费</w:t>
      </w:r>
      <w:r>
        <w:rPr>
          <w:rFonts w:hint="eastAsia" w:ascii="Times New Roman" w:hAnsi="Times New Roman" w:eastAsia="仿宋"/>
          <w:sz w:val="32"/>
          <w:szCs w:val="32"/>
          <w:lang w:val="en-US" w:eastAsia="zh-CN"/>
        </w:rPr>
        <w:t>8.95万元</w:t>
      </w:r>
      <w:r>
        <w:rPr>
          <w:rFonts w:hint="eastAsia" w:ascii="Times New Roman" w:hAnsi="Times New Roman" w:eastAsia="仿宋"/>
          <w:sz w:val="32"/>
          <w:szCs w:val="32"/>
        </w:rPr>
        <w:t>、邮电费</w:t>
      </w:r>
      <w:r>
        <w:rPr>
          <w:rFonts w:hint="eastAsia" w:ascii="Times New Roman" w:hAnsi="Times New Roman" w:eastAsia="仿宋"/>
          <w:sz w:val="32"/>
          <w:szCs w:val="32"/>
          <w:lang w:val="en-US" w:eastAsia="zh-CN"/>
        </w:rPr>
        <w:t>4.58万元</w:t>
      </w:r>
      <w:r>
        <w:rPr>
          <w:rFonts w:hint="eastAsia" w:ascii="Times New Roman" w:hAnsi="Times New Roman" w:eastAsia="仿宋"/>
          <w:sz w:val="32"/>
          <w:szCs w:val="32"/>
        </w:rPr>
        <w:t>、取暖费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、物业管理费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、差旅费</w:t>
      </w:r>
      <w:r>
        <w:rPr>
          <w:rFonts w:hint="eastAsia" w:ascii="Times New Roman" w:hAnsi="Times New Roman" w:eastAsia="仿宋"/>
          <w:sz w:val="32"/>
          <w:szCs w:val="32"/>
          <w:lang w:val="en-US" w:eastAsia="zh-CN"/>
        </w:rPr>
        <w:t>86.55万元</w:t>
      </w:r>
      <w:r>
        <w:rPr>
          <w:rFonts w:hint="eastAsia" w:ascii="Times New Roman" w:hAnsi="Times New Roman" w:eastAsia="仿宋"/>
          <w:sz w:val="32"/>
          <w:szCs w:val="32"/>
        </w:rPr>
        <w:t>、因公出国（境）费用</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、维修（护）费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、租赁费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、会议费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、培训费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、公务接待费</w:t>
      </w:r>
      <w:r>
        <w:rPr>
          <w:rFonts w:hint="eastAsia" w:ascii="Times New Roman" w:hAnsi="Times New Roman" w:eastAsia="仿宋"/>
          <w:sz w:val="32"/>
          <w:szCs w:val="32"/>
          <w:lang w:val="en-US" w:eastAsia="zh-CN"/>
        </w:rPr>
        <w:t>1万元</w:t>
      </w:r>
      <w:r>
        <w:rPr>
          <w:rFonts w:hint="eastAsia" w:ascii="Times New Roman" w:hAnsi="Times New Roman" w:eastAsia="仿宋"/>
          <w:sz w:val="32"/>
          <w:szCs w:val="32"/>
        </w:rPr>
        <w:t>、劳务费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、委托业务费</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、工会经费</w:t>
      </w:r>
      <w:r>
        <w:rPr>
          <w:rFonts w:hint="eastAsia" w:ascii="Times New Roman" w:hAnsi="Times New Roman" w:eastAsia="仿宋"/>
          <w:sz w:val="32"/>
          <w:szCs w:val="32"/>
          <w:lang w:val="en-US" w:eastAsia="zh-CN"/>
        </w:rPr>
        <w:t>10.47万元</w:t>
      </w:r>
      <w:r>
        <w:rPr>
          <w:rFonts w:hint="eastAsia" w:ascii="Times New Roman" w:hAnsi="Times New Roman" w:eastAsia="仿宋"/>
          <w:sz w:val="32"/>
          <w:szCs w:val="32"/>
        </w:rPr>
        <w:t>、福利费</w:t>
      </w:r>
      <w:r>
        <w:rPr>
          <w:rFonts w:hint="eastAsia" w:ascii="Times New Roman" w:hAnsi="Times New Roman" w:eastAsia="仿宋"/>
          <w:sz w:val="32"/>
          <w:szCs w:val="32"/>
          <w:lang w:val="en-US" w:eastAsia="zh-CN"/>
        </w:rPr>
        <w:t>17.75万元</w:t>
      </w:r>
      <w:r>
        <w:rPr>
          <w:rFonts w:hint="eastAsia" w:ascii="Times New Roman" w:hAnsi="Times New Roman" w:eastAsia="仿宋"/>
          <w:sz w:val="32"/>
          <w:szCs w:val="32"/>
        </w:rPr>
        <w:t>、公务用车运行维护费</w:t>
      </w:r>
      <w:r>
        <w:rPr>
          <w:rFonts w:hint="eastAsia" w:ascii="Times New Roman" w:hAnsi="Times New Roman" w:eastAsia="仿宋"/>
          <w:sz w:val="32"/>
          <w:szCs w:val="32"/>
          <w:lang w:val="en-US" w:eastAsia="zh-CN"/>
        </w:rPr>
        <w:t>27.97万元</w:t>
      </w:r>
      <w:r>
        <w:rPr>
          <w:rFonts w:hint="eastAsia" w:ascii="Times New Roman" w:hAnsi="Times New Roman" w:eastAsia="仿宋"/>
          <w:sz w:val="32"/>
          <w:szCs w:val="32"/>
        </w:rPr>
        <w:t>、其他交通费</w:t>
      </w:r>
      <w:r>
        <w:rPr>
          <w:rFonts w:hint="eastAsia" w:ascii="Times New Roman" w:hAnsi="Times New Roman" w:eastAsia="仿宋"/>
          <w:sz w:val="32"/>
          <w:szCs w:val="32"/>
          <w:lang w:val="en-US" w:eastAsia="zh-CN"/>
        </w:rPr>
        <w:t>6.24万元</w:t>
      </w:r>
      <w:r>
        <w:rPr>
          <w:rFonts w:hint="eastAsia" w:ascii="Times New Roman" w:hAnsi="Times New Roman" w:eastAsia="仿宋"/>
          <w:sz w:val="32"/>
          <w:szCs w:val="32"/>
        </w:rPr>
        <w:t>、税金及附加费用</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、其他商品和服务支出</w:t>
      </w:r>
      <w:r>
        <w:rPr>
          <w:rFonts w:hint="eastAsia" w:ascii="Times New Roman" w:hAnsi="Times New Roman" w:eastAsia="仿宋"/>
          <w:sz w:val="32"/>
          <w:szCs w:val="32"/>
          <w:lang w:val="en-US" w:eastAsia="zh-CN"/>
        </w:rPr>
        <w:t>6.52万元</w:t>
      </w:r>
      <w:r>
        <w:rPr>
          <w:rFonts w:hint="eastAsia" w:ascii="Times New Roman" w:hAnsi="Times New Roman" w:eastAsia="仿宋"/>
          <w:sz w:val="32"/>
          <w:szCs w:val="32"/>
        </w:rPr>
        <w:t>、办公设备购置</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、专用设备购置</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、信息网络及软件购置更新</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、其他资本性支出</w:t>
      </w:r>
      <w:r>
        <w:rPr>
          <w:rFonts w:hint="eastAsia" w:ascii="Times New Roman" w:hAnsi="Times New Roman" w:eastAsia="仿宋"/>
          <w:sz w:val="32"/>
          <w:szCs w:val="32"/>
          <w:lang w:val="en-US" w:eastAsia="zh-CN"/>
        </w:rPr>
        <w:t>0万元</w:t>
      </w:r>
      <w:r>
        <w:rPr>
          <w:rFonts w:hint="eastAsia" w:ascii="Times New Roman" w:hAnsi="Times New Roman" w:eastAsia="仿宋"/>
          <w:sz w:val="32"/>
          <w:szCs w:val="32"/>
        </w:rPr>
        <w:t>。</w:t>
      </w:r>
    </w:p>
    <w:p>
      <w:pPr>
        <w:spacing w:line="600" w:lineRule="exact"/>
        <w:ind w:firstLine="640"/>
        <w:outlineLvl w:val="1"/>
        <w:rPr>
          <w:rStyle w:val="33"/>
          <w:rFonts w:ascii="Times New Roman" w:hAnsi="Times New Roman" w:eastAsia="黑体"/>
          <w:b w:val="0"/>
        </w:rPr>
      </w:pPr>
      <w:bookmarkStart w:id="36" w:name="_Toc15377215"/>
      <w:bookmarkStart w:id="37" w:name="_Toc15396609"/>
      <w:r>
        <w:rPr>
          <w:rFonts w:hint="eastAsia" w:ascii="Times New Roman" w:hAnsi="Times New Roman" w:eastAsia="黑体"/>
          <w:sz w:val="32"/>
          <w:szCs w:val="32"/>
        </w:rPr>
        <w:t>七、</w:t>
      </w:r>
      <w:r>
        <w:rPr>
          <w:rStyle w:val="33"/>
          <w:rFonts w:hint="eastAsia" w:ascii="Times New Roman" w:hAnsi="Times New Roman" w:eastAsia="黑体"/>
          <w:b w:val="0"/>
        </w:rPr>
        <w:t>财政拨款</w:t>
      </w:r>
      <w:r>
        <w:rPr>
          <w:rStyle w:val="33"/>
          <w:rFonts w:hint="eastAsia" w:ascii="Times New Roman" w:hAnsi="Times New Roman" w:eastAsia="黑体"/>
        </w:rPr>
        <w:t>“</w:t>
      </w:r>
      <w:r>
        <w:rPr>
          <w:rStyle w:val="33"/>
          <w:rFonts w:hint="eastAsia" w:ascii="Times New Roman" w:hAnsi="Times New Roman" w:eastAsia="黑体"/>
          <w:b w:val="0"/>
        </w:rPr>
        <w:t>三公”经费支出决算情况说明</w:t>
      </w:r>
      <w:bookmarkEnd w:id="36"/>
      <w:bookmarkEnd w:id="37"/>
    </w:p>
    <w:p>
      <w:pPr>
        <w:spacing w:line="600" w:lineRule="exact"/>
        <w:ind w:firstLine="640"/>
        <w:outlineLvl w:val="2"/>
        <w:rPr>
          <w:rFonts w:ascii="Times New Roman" w:hAnsi="Times New Roman" w:eastAsia="仿宋"/>
          <w:b/>
          <w:sz w:val="32"/>
          <w:szCs w:val="32"/>
        </w:rPr>
      </w:pPr>
      <w:bookmarkStart w:id="38" w:name="_Toc15377216"/>
      <w:r>
        <w:rPr>
          <w:rFonts w:hint="eastAsia" w:ascii="Times New Roman" w:hAnsi="Times New Roman" w:eastAsia="仿宋"/>
          <w:b/>
          <w:sz w:val="32"/>
          <w:szCs w:val="32"/>
        </w:rPr>
        <w:t>（一）“三公”经费财政拨款支出决算总体情况说明</w:t>
      </w:r>
      <w:bookmarkEnd w:id="38"/>
    </w:p>
    <w:p>
      <w:pPr>
        <w:spacing w:line="600" w:lineRule="exact"/>
        <w:ind w:firstLine="64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22年“三公”经费财政拨款支出决算为</w:t>
      </w:r>
      <w:r>
        <w:rPr>
          <w:rFonts w:hint="eastAsia" w:ascii="Times New Roman" w:hAnsi="Times New Roman" w:eastAsia="仿宋"/>
          <w:sz w:val="32"/>
          <w:szCs w:val="32"/>
          <w:lang w:val="en-US" w:eastAsia="zh-CN"/>
        </w:rPr>
        <w:t>28.97</w:t>
      </w:r>
      <w:r>
        <w:rPr>
          <w:rFonts w:hint="eastAsia" w:ascii="Times New Roman" w:hAnsi="Times New Roman" w:eastAsia="仿宋"/>
          <w:sz w:val="32"/>
          <w:szCs w:val="32"/>
        </w:rPr>
        <w:t>万元，完成预算</w:t>
      </w:r>
      <w:r>
        <w:rPr>
          <w:rFonts w:hint="eastAsia" w:ascii="Times New Roman" w:hAnsi="Times New Roman" w:eastAsia="仿宋"/>
          <w:sz w:val="32"/>
          <w:szCs w:val="32"/>
          <w:lang w:val="en-US" w:eastAsia="zh-CN"/>
        </w:rPr>
        <w:t>100</w:t>
      </w:r>
      <w:r>
        <w:rPr>
          <w:rFonts w:ascii="Times New Roman" w:hAnsi="Times New Roman" w:eastAsia="仿宋"/>
          <w:sz w:val="32"/>
          <w:szCs w:val="32"/>
        </w:rPr>
        <w:t>%</w:t>
      </w:r>
      <w:r>
        <w:rPr>
          <w:rFonts w:hint="eastAsia" w:ascii="Times New Roman" w:hAnsi="Times New Roman" w:eastAsia="仿宋"/>
          <w:sz w:val="32"/>
          <w:szCs w:val="32"/>
        </w:rPr>
        <w:t>，较上年增加</w:t>
      </w:r>
      <w:r>
        <w:rPr>
          <w:rFonts w:hint="eastAsia" w:ascii="Times New Roman" w:hAnsi="Times New Roman" w:eastAsia="仿宋"/>
          <w:sz w:val="32"/>
          <w:szCs w:val="32"/>
          <w:lang w:val="en-US" w:eastAsia="zh-CN"/>
        </w:rPr>
        <w:t>9.68</w:t>
      </w:r>
      <w:r>
        <w:rPr>
          <w:rFonts w:hint="eastAsia" w:ascii="Times New Roman" w:hAnsi="Times New Roman" w:eastAsia="仿宋"/>
          <w:sz w:val="32"/>
          <w:szCs w:val="32"/>
        </w:rPr>
        <w:t>万元，增长</w:t>
      </w:r>
      <w:r>
        <w:rPr>
          <w:rFonts w:hint="eastAsia" w:ascii="Times New Roman" w:hAnsi="Times New Roman" w:eastAsia="仿宋"/>
          <w:sz w:val="32"/>
          <w:szCs w:val="32"/>
          <w:lang w:val="en-US" w:eastAsia="zh-CN"/>
        </w:rPr>
        <w:t>50</w:t>
      </w:r>
      <w:r>
        <w:rPr>
          <w:rFonts w:hint="eastAsia" w:ascii="Times New Roman" w:hAnsi="Times New Roman" w:eastAsia="仿宋"/>
          <w:sz w:val="32"/>
          <w:szCs w:val="32"/>
        </w:rPr>
        <w:t>%。决算数与预算数持平。</w:t>
      </w:r>
    </w:p>
    <w:p>
      <w:pPr>
        <w:spacing w:line="600" w:lineRule="exact"/>
        <w:ind w:firstLine="640"/>
        <w:outlineLvl w:val="2"/>
        <w:rPr>
          <w:rFonts w:ascii="Times New Roman" w:hAnsi="Times New Roman" w:eastAsia="仿宋"/>
          <w:b/>
          <w:sz w:val="32"/>
          <w:szCs w:val="32"/>
        </w:rPr>
      </w:pPr>
      <w:bookmarkStart w:id="39" w:name="_Toc15377217"/>
      <w:r>
        <w:rPr>
          <w:rFonts w:hint="eastAsia" w:ascii="Times New Roman" w:hAnsi="Times New Roman" w:eastAsia="仿宋"/>
          <w:b/>
          <w:sz w:val="32"/>
          <w:szCs w:val="32"/>
        </w:rPr>
        <w:t>（二）“三公”经费财政拨款支出决算具体情况说明</w:t>
      </w:r>
      <w:bookmarkEnd w:id="39"/>
    </w:p>
    <w:p>
      <w:pPr>
        <w:spacing w:line="600" w:lineRule="exact"/>
        <w:ind w:firstLine="640"/>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22年“三公”经费财政拨款支出决算中，因公出国（境）费支出决算</w:t>
      </w:r>
      <w:r>
        <w:rPr>
          <w:rFonts w:hint="eastAsia" w:ascii="Times New Roman" w:hAnsi="Times New Roman" w:eastAsia="仿宋"/>
          <w:sz w:val="32"/>
          <w:szCs w:val="32"/>
          <w:lang w:val="en-US" w:eastAsia="zh-CN"/>
        </w:rPr>
        <w:t>0</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0</w:t>
      </w:r>
      <w:r>
        <w:rPr>
          <w:rFonts w:ascii="Times New Roman" w:hAnsi="Times New Roman" w:eastAsia="仿宋"/>
          <w:sz w:val="32"/>
          <w:szCs w:val="32"/>
        </w:rPr>
        <w:t>%</w:t>
      </w:r>
      <w:r>
        <w:rPr>
          <w:rFonts w:hint="eastAsia" w:ascii="Times New Roman" w:hAnsi="Times New Roman" w:eastAsia="仿宋"/>
          <w:sz w:val="32"/>
          <w:szCs w:val="32"/>
        </w:rPr>
        <w:t>；公务用车购置及运行维护费支出决算</w:t>
      </w:r>
      <w:r>
        <w:rPr>
          <w:rFonts w:hint="eastAsia" w:ascii="Times New Roman" w:hAnsi="Times New Roman" w:eastAsia="仿宋"/>
          <w:sz w:val="32"/>
          <w:szCs w:val="32"/>
          <w:lang w:val="en-US" w:eastAsia="zh-CN"/>
        </w:rPr>
        <w:t>27.97</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96.55</w:t>
      </w:r>
      <w:r>
        <w:rPr>
          <w:rFonts w:ascii="Times New Roman" w:hAnsi="Times New Roman" w:eastAsia="仿宋"/>
          <w:sz w:val="32"/>
          <w:szCs w:val="32"/>
        </w:rPr>
        <w:t>%</w:t>
      </w:r>
      <w:r>
        <w:rPr>
          <w:rFonts w:hint="eastAsia" w:ascii="Times New Roman" w:hAnsi="Times New Roman" w:eastAsia="仿宋"/>
          <w:sz w:val="32"/>
          <w:szCs w:val="32"/>
        </w:rPr>
        <w:t>；公务接待费支出决算</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3.45</w:t>
      </w:r>
      <w:r>
        <w:rPr>
          <w:rFonts w:ascii="Times New Roman" w:hAnsi="Times New Roman" w:eastAsia="仿宋"/>
          <w:sz w:val="32"/>
          <w:szCs w:val="32"/>
        </w:rPr>
        <w:t>%</w:t>
      </w:r>
      <w:r>
        <w:rPr>
          <w:rFonts w:hint="eastAsia" w:ascii="Times New Roman" w:hAnsi="Times New Roman" w:eastAsia="仿宋"/>
          <w:sz w:val="32"/>
          <w:szCs w:val="32"/>
        </w:rPr>
        <w:t>。具体情况如下：</w:t>
      </w:r>
    </w:p>
    <w:p>
      <w:pPr>
        <w:pStyle w:val="3"/>
        <w:rPr>
          <w:rFonts w:hint="eastAsia" w:ascii="Times New Roman" w:hAnsi="Times New Roman" w:eastAsia="仿宋"/>
          <w:color w:val="0000FF"/>
          <w:sz w:val="32"/>
          <w:szCs w:val="32"/>
        </w:rPr>
      </w:pPr>
      <w:r>
        <w:rPr>
          <w:rFonts w:ascii="Times New Roman" w:hAnsi="Times New Roman"/>
        </w:rPr>
        <w:drawing>
          <wp:anchor distT="0" distB="0" distL="114300" distR="114300" simplePos="0" relativeHeight="251660288" behindDoc="0" locked="0" layoutInCell="1" allowOverlap="1">
            <wp:simplePos x="0" y="0"/>
            <wp:positionH relativeFrom="column">
              <wp:posOffset>269240</wp:posOffset>
            </wp:positionH>
            <wp:positionV relativeFrom="paragraph">
              <wp:posOffset>163195</wp:posOffset>
            </wp:positionV>
            <wp:extent cx="4572635" cy="3418205"/>
            <wp:effectExtent l="4445" t="4445" r="13970" b="6350"/>
            <wp:wrapTopAndBottom/>
            <wp:docPr id="4113" name="图表 7"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jc w:val="center"/>
        <w:rPr>
          <w:rFonts w:hint="eastAsia" w:ascii="Times New Roman" w:hAnsi="Times New Roman" w:eastAsia="仿宋"/>
          <w:color w:val="auto"/>
          <w:sz w:val="28"/>
          <w:szCs w:val="28"/>
        </w:rPr>
      </w:pPr>
      <w:r>
        <w:rPr>
          <w:rFonts w:hint="eastAsia" w:ascii="Times New Roman" w:hAnsi="Times New Roman" w:eastAsia="仿宋"/>
          <w:color w:val="auto"/>
          <w:sz w:val="28"/>
          <w:szCs w:val="28"/>
        </w:rPr>
        <w:t>图7：“三公”经费财政拨款支出结构</w:t>
      </w:r>
    </w:p>
    <w:p>
      <w:pPr>
        <w:spacing w:line="600" w:lineRule="exact"/>
        <w:ind w:firstLine="64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因公出国（境）经费支出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Style w:val="19"/>
          <w:rFonts w:hint="eastAsia" w:ascii="Times New Roman" w:hAnsi="Times New Roman" w:eastAsia="仿宋"/>
          <w:b w:val="0"/>
          <w:bCs/>
          <w:sz w:val="32"/>
          <w:szCs w:val="32"/>
        </w:rPr>
        <w:t>完成预算</w:t>
      </w:r>
      <w:r>
        <w:rPr>
          <w:rStyle w:val="19"/>
          <w:rFonts w:hint="eastAsia" w:ascii="Times New Roman" w:hAnsi="Times New Roman" w:eastAsia="仿宋"/>
          <w:b w:val="0"/>
          <w:bCs/>
          <w:sz w:val="32"/>
          <w:szCs w:val="32"/>
          <w:lang w:val="en-US" w:eastAsia="zh-CN"/>
        </w:rPr>
        <w:t>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_GB2312"/>
          <w:sz w:val="32"/>
          <w:szCs w:val="32"/>
        </w:rPr>
        <w:t>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次，出国（境）</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人。因公出国（境）支出决算比</w:t>
      </w:r>
      <w:r>
        <w:rPr>
          <w:rFonts w:ascii="Times New Roman" w:hAnsi="Times New Roman" w:eastAsia="仿宋_GB2312"/>
          <w:sz w:val="32"/>
          <w:szCs w:val="32"/>
        </w:rPr>
        <w:t>20</w:t>
      </w:r>
      <w:r>
        <w:rPr>
          <w:rFonts w:hint="eastAsia" w:ascii="Times New Roman" w:hAnsi="Times New Roman" w:eastAsia="仿宋_GB2312"/>
          <w:sz w:val="32"/>
          <w:szCs w:val="32"/>
        </w:rPr>
        <w:t>21年</w:t>
      </w:r>
      <w:r>
        <w:rPr>
          <w:rFonts w:hint="eastAsia" w:ascii="Times New Roman" w:hAnsi="Times New Roman" w:eastAsia="仿宋_GB2312"/>
          <w:sz w:val="32"/>
          <w:szCs w:val="32"/>
          <w:lang w:eastAsia="zh-CN"/>
        </w:rPr>
        <w:t>持平。</w:t>
      </w:r>
    </w:p>
    <w:p>
      <w:pPr>
        <w:spacing w:line="600"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公务用车购置及运行维护费支出</w:t>
      </w:r>
      <w:r>
        <w:rPr>
          <w:rFonts w:hint="eastAsia" w:ascii="Times New Roman" w:hAnsi="Times New Roman" w:eastAsia="仿宋_GB2312"/>
          <w:sz w:val="32"/>
          <w:szCs w:val="32"/>
          <w:lang w:val="en-US" w:eastAsia="zh-CN"/>
        </w:rPr>
        <w:t>27.97</w:t>
      </w:r>
      <w:r>
        <w:rPr>
          <w:rFonts w:hint="eastAsia" w:ascii="Times New Roman" w:hAnsi="Times New Roman" w:eastAsia="仿宋_GB2312"/>
          <w:sz w:val="32"/>
          <w:szCs w:val="32"/>
        </w:rPr>
        <w:t>万元,</w:t>
      </w:r>
      <w:r>
        <w:rPr>
          <w:rStyle w:val="19"/>
          <w:rFonts w:hint="eastAsia" w:ascii="Times New Roman" w:hAnsi="Times New Roman" w:eastAsia="仿宋"/>
          <w:b w:val="0"/>
          <w:bCs/>
          <w:sz w:val="32"/>
          <w:szCs w:val="32"/>
        </w:rPr>
        <w:t>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_GB2312"/>
          <w:sz w:val="32"/>
          <w:szCs w:val="32"/>
        </w:rPr>
        <w:t>公务用车购置及运行维护费支出决算比</w:t>
      </w:r>
      <w:r>
        <w:rPr>
          <w:rFonts w:ascii="Times New Roman" w:hAnsi="Times New Roman" w:eastAsia="仿宋_GB2312"/>
          <w:sz w:val="32"/>
          <w:szCs w:val="32"/>
        </w:rPr>
        <w:t>20</w:t>
      </w:r>
      <w:r>
        <w:rPr>
          <w:rFonts w:hint="eastAsia" w:ascii="Times New Roman" w:hAnsi="Times New Roman" w:eastAsia="仿宋_GB2312"/>
          <w:sz w:val="32"/>
          <w:szCs w:val="32"/>
        </w:rPr>
        <w:t>21年增加</w:t>
      </w:r>
      <w:r>
        <w:rPr>
          <w:rFonts w:hint="eastAsia" w:ascii="Times New Roman" w:hAnsi="Times New Roman" w:eastAsia="仿宋_GB2312"/>
          <w:sz w:val="32"/>
          <w:szCs w:val="32"/>
          <w:lang w:val="en-US" w:eastAsia="zh-CN"/>
        </w:rPr>
        <w:t>9.87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35.29</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项目下乡用车频率高、车辆使用频繁、耗油量大</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其中：</w:t>
      </w:r>
      <w:r>
        <w:rPr>
          <w:rFonts w:hint="eastAsia" w:ascii="Times New Roman" w:hAnsi="Times New Roman" w:eastAsia="仿宋_GB2312"/>
          <w:b/>
          <w:sz w:val="32"/>
          <w:szCs w:val="32"/>
        </w:rPr>
        <w:t>公务用车购置支出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万元。全年按规定更新购置公务用车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万元，越野车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万元，载客汽车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万元。截至</w:t>
      </w:r>
      <w:r>
        <w:rPr>
          <w:rFonts w:ascii="Times New Roman" w:hAnsi="Times New Roman" w:eastAsia="仿宋_GB2312"/>
          <w:sz w:val="32"/>
          <w:szCs w:val="32"/>
        </w:rPr>
        <w:t>20</w:t>
      </w:r>
      <w:r>
        <w:rPr>
          <w:rFonts w:hint="eastAsia" w:ascii="Times New Roman" w:hAnsi="Times New Roman" w:eastAsia="仿宋_GB2312"/>
          <w:sz w:val="32"/>
          <w:szCs w:val="32"/>
        </w:rPr>
        <w:t>22年</w:t>
      </w:r>
      <w:r>
        <w:rPr>
          <w:rFonts w:ascii="Times New Roman" w:hAnsi="Times New Roman" w:eastAsia="仿宋_GB2312"/>
          <w:sz w:val="32"/>
          <w:szCs w:val="32"/>
        </w:rPr>
        <w:t>12</w:t>
      </w:r>
      <w:r>
        <w:rPr>
          <w:rFonts w:hint="eastAsia" w:ascii="Times New Roman" w:hAnsi="Times New Roman" w:eastAsia="仿宋_GB2312"/>
          <w:sz w:val="32"/>
          <w:szCs w:val="32"/>
        </w:rPr>
        <w:t>月底，单位共有公务用车</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辆，其中：轿车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辆、越野车</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轻型</w:t>
      </w:r>
      <w:r>
        <w:rPr>
          <w:rFonts w:hint="eastAsia" w:ascii="Times New Roman" w:hAnsi="Times New Roman" w:eastAsia="仿宋_GB2312"/>
          <w:sz w:val="32"/>
          <w:szCs w:val="32"/>
        </w:rPr>
        <w:t>载</w:t>
      </w:r>
      <w:r>
        <w:rPr>
          <w:rFonts w:hint="eastAsia" w:ascii="Times New Roman" w:hAnsi="Times New Roman" w:eastAsia="仿宋_GB2312"/>
          <w:sz w:val="32"/>
          <w:szCs w:val="32"/>
          <w:lang w:eastAsia="zh-CN"/>
        </w:rPr>
        <w:t>货</w:t>
      </w:r>
      <w:r>
        <w:rPr>
          <w:rFonts w:hint="eastAsia" w:ascii="Times New Roman" w:hAnsi="Times New Roman" w:eastAsia="仿宋_GB2312"/>
          <w:sz w:val="32"/>
          <w:szCs w:val="32"/>
        </w:rPr>
        <w:t>汽车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b/>
          <w:sz w:val="32"/>
          <w:szCs w:val="32"/>
        </w:rPr>
        <w:t>公务用车运行维护费支出</w:t>
      </w:r>
      <w:r>
        <w:rPr>
          <w:rFonts w:hint="eastAsia" w:ascii="Times New Roman" w:hAnsi="Times New Roman" w:eastAsia="仿宋_GB2312"/>
          <w:sz w:val="32"/>
          <w:szCs w:val="32"/>
          <w:lang w:val="en-US" w:eastAsia="zh-CN"/>
        </w:rPr>
        <w:t>27.97</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执行公务、开展业务活动</w:t>
      </w:r>
      <w:r>
        <w:rPr>
          <w:rFonts w:hint="eastAsia" w:ascii="Times New Roman" w:hAnsi="Times New Roman" w:eastAsia="仿宋_GB2312"/>
          <w:sz w:val="32"/>
          <w:szCs w:val="32"/>
        </w:rPr>
        <w:t>等所需的公务用车燃料费、维修费、过路过桥费、保险费等支出。</w:t>
      </w:r>
    </w:p>
    <w:p>
      <w:pPr>
        <w:spacing w:line="600" w:lineRule="exact"/>
        <w:ind w:firstLine="64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公务接待费支出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w:t>
      </w:r>
      <w:r>
        <w:rPr>
          <w:rStyle w:val="19"/>
          <w:rFonts w:hint="eastAsia" w:ascii="Times New Roman" w:hAnsi="Times New Roman" w:eastAsia="仿宋"/>
          <w:b w:val="0"/>
          <w:bCs/>
          <w:sz w:val="32"/>
          <w:szCs w:val="32"/>
        </w:rPr>
        <w:t>完成预算</w:t>
      </w:r>
      <w:r>
        <w:rPr>
          <w:rStyle w:val="19"/>
          <w:rFonts w:hint="eastAsia" w:ascii="Times New Roman" w:hAnsi="Times New Roman" w:eastAsia="仿宋"/>
          <w:b w:val="0"/>
          <w:bCs/>
          <w:sz w:val="32"/>
          <w:szCs w:val="32"/>
          <w:lang w:val="en-US" w:eastAsia="zh-CN"/>
        </w:rPr>
        <w:t>100</w:t>
      </w:r>
      <w:r>
        <w:rPr>
          <w:rStyle w:val="19"/>
          <w:rFonts w:ascii="Times New Roman" w:hAnsi="Times New Roman" w:eastAsia="仿宋"/>
          <w:b w:val="0"/>
          <w:bCs/>
          <w:sz w:val="32"/>
          <w:szCs w:val="32"/>
        </w:rPr>
        <w:t>%</w:t>
      </w:r>
      <w:r>
        <w:rPr>
          <w:rStyle w:val="19"/>
          <w:rFonts w:hint="eastAsia" w:ascii="Times New Roman" w:hAnsi="Times New Roman" w:eastAsia="仿宋"/>
          <w:b w:val="0"/>
          <w:bCs/>
          <w:sz w:val="32"/>
          <w:szCs w:val="32"/>
        </w:rPr>
        <w:t>。</w:t>
      </w:r>
      <w:r>
        <w:rPr>
          <w:rFonts w:hint="eastAsia" w:ascii="Times New Roman" w:hAnsi="Times New Roman" w:eastAsia="仿宋_GB2312"/>
          <w:sz w:val="32"/>
          <w:szCs w:val="32"/>
        </w:rPr>
        <w:t>公务接待费支出决算比</w:t>
      </w:r>
      <w:r>
        <w:rPr>
          <w:rFonts w:ascii="Times New Roman" w:hAnsi="Times New Roman" w:eastAsia="仿宋_GB2312"/>
          <w:sz w:val="32"/>
          <w:szCs w:val="32"/>
        </w:rPr>
        <w:t>20</w:t>
      </w:r>
      <w:r>
        <w:rPr>
          <w:rFonts w:hint="eastAsia" w:ascii="Times New Roman" w:hAnsi="Times New Roman" w:eastAsia="仿宋_GB2312"/>
          <w:sz w:val="32"/>
          <w:szCs w:val="32"/>
        </w:rPr>
        <w:t>21年增加减少</w:t>
      </w:r>
      <w:r>
        <w:rPr>
          <w:rFonts w:hint="eastAsia" w:ascii="Times New Roman" w:hAnsi="Times New Roman" w:eastAsia="仿宋_GB2312"/>
          <w:sz w:val="32"/>
          <w:szCs w:val="32"/>
          <w:lang w:val="en-US" w:eastAsia="zh-CN"/>
        </w:rPr>
        <w:t>0.20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业务交流活动减少</w:t>
      </w:r>
      <w:r>
        <w:rPr>
          <w:rFonts w:hint="eastAsia" w:ascii="Times New Roman" w:hAnsi="Times New Roman" w:eastAsia="仿宋_GB2312"/>
          <w:sz w:val="32"/>
          <w:szCs w:val="32"/>
        </w:rPr>
        <w:t>。其中：</w:t>
      </w:r>
    </w:p>
    <w:p>
      <w:pPr>
        <w:spacing w:line="600" w:lineRule="exact"/>
        <w:ind w:firstLine="640"/>
        <w:rPr>
          <w:rFonts w:hint="eastAsia" w:ascii="Times New Roman" w:hAnsi="Times New Roman" w:eastAsia="仿宋_GB2312"/>
          <w:color w:val="auto"/>
          <w:sz w:val="32"/>
          <w:szCs w:val="32"/>
        </w:rPr>
      </w:pPr>
      <w:r>
        <w:rPr>
          <w:rFonts w:hint="eastAsia" w:ascii="Times New Roman" w:hAnsi="Times New Roman" w:eastAsia="仿宋"/>
          <w:b/>
          <w:sz w:val="32"/>
          <w:szCs w:val="32"/>
        </w:rPr>
        <w:t>国内公务接待支出</w:t>
      </w:r>
      <w:r>
        <w:rPr>
          <w:rFonts w:hint="eastAsia" w:ascii="Times New Roman" w:hAnsi="Times New Roman" w:eastAsia="仿宋"/>
          <w:sz w:val="32"/>
          <w:szCs w:val="32"/>
          <w:lang w:val="en-US" w:eastAsia="zh-CN"/>
        </w:rPr>
        <w:t>1.00</w:t>
      </w:r>
      <w:r>
        <w:rPr>
          <w:rFonts w:hint="eastAsia" w:ascii="Times New Roman" w:hAnsi="Times New Roman" w:eastAsia="仿宋_GB2312"/>
          <w:sz w:val="32"/>
          <w:szCs w:val="32"/>
        </w:rPr>
        <w:t>万元，主要用于执行公务、开展业务活动开支的交通费、住宿费、用餐费等。国内公务接</w:t>
      </w:r>
      <w:r>
        <w:rPr>
          <w:rFonts w:hint="eastAsia" w:ascii="Times New Roman" w:hAnsi="Times New Roman" w:eastAsia="仿宋_GB2312"/>
          <w:color w:val="auto"/>
          <w:sz w:val="32"/>
          <w:szCs w:val="32"/>
        </w:rPr>
        <w:t>待</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批次，</w:t>
      </w:r>
      <w:r>
        <w:rPr>
          <w:rFonts w:hint="eastAsia" w:ascii="Times New Roman" w:hAnsi="Times New Roman" w:eastAsia="仿宋_GB2312"/>
          <w:color w:val="auto"/>
          <w:sz w:val="32"/>
          <w:szCs w:val="32"/>
          <w:lang w:val="en-US" w:eastAsia="zh-CN"/>
        </w:rPr>
        <w:t>72</w:t>
      </w:r>
      <w:r>
        <w:rPr>
          <w:rFonts w:hint="eastAsia" w:ascii="Times New Roman" w:hAnsi="Times New Roman" w:eastAsia="仿宋_GB2312"/>
          <w:color w:val="auto"/>
          <w:sz w:val="32"/>
          <w:szCs w:val="32"/>
        </w:rPr>
        <w:t>人次（不包括陪同人员），共计支出</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万元，具体内容包括：</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华坪县人民代表大会常务委员会考察组</w:t>
      </w:r>
      <w:r>
        <w:rPr>
          <w:rFonts w:hint="eastAsia" w:ascii="Times New Roman" w:hAnsi="Times New Roman" w:eastAsia="仿宋_GB2312"/>
          <w:sz w:val="32"/>
          <w:szCs w:val="32"/>
          <w:lang w:val="en-US" w:eastAsia="zh-CN"/>
        </w:rPr>
        <w:t>11人，学习</w:t>
      </w:r>
      <w:r>
        <w:rPr>
          <w:rFonts w:hint="eastAsia" w:ascii="Times New Roman" w:hAnsi="Times New Roman" w:eastAsia="仿宋_GB2312"/>
          <w:sz w:val="32"/>
          <w:szCs w:val="32"/>
          <w:lang w:eastAsia="zh-CN"/>
        </w:rPr>
        <w:t>芒果种植生产管理考察</w:t>
      </w:r>
      <w:r>
        <w:rPr>
          <w:rFonts w:hint="eastAsia" w:ascii="Times New Roman" w:hAnsi="Times New Roman" w:eastAsia="仿宋_GB2312"/>
          <w:sz w:val="32"/>
          <w:szCs w:val="32"/>
          <w:lang w:val="en-US" w:eastAsia="zh-CN"/>
        </w:rPr>
        <w:t>，接待费用0.1万元。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市林业局陪同国研经济研究院专家组16人，开展国家储备林种苗基地选址调研，接待费用0.13万元。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市农业农村局陪同农业农村厅“1+5”工作调研组9人，开展农业开展重点项目推进工作调研，接待费用0.09万元。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云南省农业科学院热带亚热带经济作物研究所调研组6人，开展芒果产业调研，接待费用0.1万元。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河南省辉县市住建局局长带队河南辉州苗圃有限公司学习交流组4人，探讨合作事宜，接待费用0.07万元。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甘孜州农科所4人，开展考察学习，接待费用0.1万元。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中国热带农业科学院南亚热带作物研究所工作交流组7人，开展工作交流，接待费用0.14万元。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凉山州林业草原科学研究院考察学习组10人，开展考察学习，接待费用0.14万元。</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四川省农业科学院农业资源与环境研究所学科调研组5人，开展学科调研，接待费用0.06万元。</w:t>
      </w:r>
    </w:p>
    <w:p>
      <w:pPr>
        <w:spacing w:line="600" w:lineRule="exact"/>
        <w:ind w:firstLine="64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攀枝花学院等单位学科调研组3人，开展金沙江干热河谷植被恢复工作调研，接待费用0.07元。</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
          <w:b/>
          <w:sz w:val="32"/>
          <w:szCs w:val="32"/>
        </w:rPr>
        <w:t>外事接待支出</w:t>
      </w:r>
      <w:r>
        <w:rPr>
          <w:rFonts w:hint="eastAsia" w:ascii="Times New Roman" w:hAnsi="Times New Roman" w:eastAsia="仿宋"/>
          <w:sz w:val="32"/>
          <w:szCs w:val="32"/>
          <w:lang w:val="en-US" w:eastAsia="zh-CN"/>
        </w:rPr>
        <w:t>0</w:t>
      </w:r>
      <w:r>
        <w:rPr>
          <w:rFonts w:hint="eastAsia" w:ascii="Times New Roman" w:hAnsi="Times New Roman" w:eastAsia="仿宋_GB2312"/>
          <w:sz w:val="32"/>
          <w:szCs w:val="32"/>
        </w:rPr>
        <w:t>万元。外事接待</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批次，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人次（不包括陪同人员），共计支出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spacing w:line="600" w:lineRule="exact"/>
        <w:ind w:firstLine="640"/>
        <w:outlineLvl w:val="1"/>
        <w:rPr>
          <w:rStyle w:val="33"/>
          <w:rFonts w:ascii="Times New Roman" w:hAnsi="Times New Roman" w:eastAsia="黑体"/>
        </w:rPr>
      </w:pPr>
      <w:bookmarkStart w:id="40" w:name="_Toc15396610"/>
      <w:bookmarkStart w:id="41" w:name="_Toc15377218"/>
      <w:r>
        <w:rPr>
          <w:rFonts w:hint="eastAsia" w:ascii="Times New Roman" w:hAnsi="Times New Roman" w:eastAsia="黑体"/>
          <w:sz w:val="32"/>
          <w:szCs w:val="32"/>
        </w:rPr>
        <w:t>八、</w:t>
      </w:r>
      <w:r>
        <w:rPr>
          <w:rStyle w:val="33"/>
          <w:rFonts w:hint="eastAsia" w:ascii="Times New Roman" w:hAnsi="Times New Roman" w:eastAsia="黑体"/>
          <w:b w:val="0"/>
        </w:rPr>
        <w:t>政府性基金预算支出决算情况说明</w:t>
      </w:r>
      <w:bookmarkEnd w:id="40"/>
      <w:bookmarkEnd w:id="41"/>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22年政府性基金预算财政拨款支出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numPr>
          <w:ilvl w:val="0"/>
          <w:numId w:val="4"/>
        </w:numPr>
        <w:spacing w:line="600" w:lineRule="exact"/>
        <w:ind w:left="-10" w:leftChars="0" w:firstLine="640" w:firstLineChars="0"/>
        <w:outlineLvl w:val="1"/>
        <w:rPr>
          <w:rStyle w:val="33"/>
          <w:rFonts w:ascii="Times New Roman" w:hAnsi="Times New Roman" w:eastAsia="黑体"/>
          <w:b w:val="0"/>
        </w:rPr>
      </w:pPr>
      <w:bookmarkStart w:id="42" w:name="_Toc15396611"/>
      <w:bookmarkStart w:id="43" w:name="_Toc15377219"/>
      <w:r>
        <w:rPr>
          <w:rStyle w:val="33"/>
          <w:rFonts w:hint="eastAsia" w:ascii="Times New Roman" w:hAnsi="Times New Roman" w:eastAsia="黑体"/>
          <w:b w:val="0"/>
        </w:rPr>
        <w:t>国有资本经营预算支出决算情况说明</w:t>
      </w:r>
      <w:bookmarkEnd w:id="42"/>
      <w:bookmarkEnd w:id="43"/>
    </w:p>
    <w:p>
      <w:pPr>
        <w:spacing w:line="600" w:lineRule="exact"/>
        <w:ind w:firstLine="640"/>
        <w:rPr>
          <w:rFonts w:ascii="Times New Roman" w:hAnsi="Times New Roman" w:eastAsia="方正小标宋简体" w:cs="方正小标宋简体"/>
          <w:sz w:val="44"/>
          <w:szCs w:val="44"/>
        </w:rPr>
      </w:pPr>
      <w:r>
        <w:rPr>
          <w:rFonts w:ascii="Times New Roman" w:hAnsi="Times New Roman" w:eastAsia="仿宋_GB2312"/>
          <w:sz w:val="32"/>
          <w:szCs w:val="32"/>
        </w:rPr>
        <w:t>20</w:t>
      </w:r>
      <w:r>
        <w:rPr>
          <w:rFonts w:hint="eastAsia" w:ascii="Times New Roman" w:hAnsi="Times New Roman" w:eastAsia="仿宋_GB2312"/>
          <w:sz w:val="32"/>
          <w:szCs w:val="32"/>
        </w:rPr>
        <w:t>22年国有资本经营预算财政拨款支出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numPr>
          <w:ilvl w:val="0"/>
          <w:numId w:val="4"/>
        </w:numPr>
        <w:spacing w:line="600" w:lineRule="exact"/>
        <w:ind w:left="-10" w:leftChars="0" w:firstLine="640" w:firstLineChars="0"/>
        <w:outlineLvl w:val="1"/>
        <w:rPr>
          <w:rFonts w:hint="default" w:eastAsia="黑体"/>
          <w:lang w:val="en-US" w:eastAsia="zh-CN"/>
        </w:rPr>
      </w:pPr>
      <w:bookmarkStart w:id="44" w:name="_Toc15396612"/>
      <w:bookmarkStart w:id="45" w:name="_Toc15377221"/>
      <w:r>
        <w:rPr>
          <w:rStyle w:val="33"/>
          <w:rFonts w:hint="eastAsia" w:ascii="Times New Roman" w:hAnsi="Times New Roman" w:eastAsia="黑体"/>
          <w:b w:val="0"/>
        </w:rPr>
        <w:t>其他重要事项的情况说明</w:t>
      </w:r>
      <w:bookmarkEnd w:id="44"/>
      <w:bookmarkEnd w:id="45"/>
    </w:p>
    <w:p>
      <w:pPr>
        <w:spacing w:line="600" w:lineRule="exact"/>
        <w:ind w:firstLine="643" w:firstLineChars="200"/>
        <w:outlineLvl w:val="2"/>
        <w:rPr>
          <w:rFonts w:ascii="Times New Roman" w:hAnsi="Times New Roman" w:eastAsia="仿宋"/>
          <w:sz w:val="32"/>
          <w:szCs w:val="32"/>
        </w:rPr>
      </w:pPr>
      <w:bookmarkStart w:id="46" w:name="_Toc15377222"/>
      <w:r>
        <w:rPr>
          <w:rFonts w:hint="eastAsia" w:ascii="Times New Roman" w:hAnsi="Times New Roman" w:eastAsia="仿宋"/>
          <w:b/>
          <w:sz w:val="32"/>
          <w:szCs w:val="32"/>
        </w:rPr>
        <w:t>（一）机关运行经费支出情况</w:t>
      </w:r>
      <w:bookmarkEnd w:id="46"/>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22年，</w:t>
      </w:r>
      <w:r>
        <w:rPr>
          <w:rFonts w:hint="eastAsia" w:ascii="Times New Roman" w:hAnsi="Times New Roman" w:eastAsia="仿宋_GB2312"/>
          <w:sz w:val="32"/>
          <w:szCs w:val="32"/>
          <w:lang w:eastAsia="zh-CN"/>
        </w:rPr>
        <w:t>市农林科学院</w:t>
      </w:r>
      <w:r>
        <w:rPr>
          <w:rFonts w:hint="eastAsia" w:ascii="Times New Roman" w:hAnsi="Times New Roman" w:eastAsia="仿宋_GB2312"/>
          <w:sz w:val="32"/>
          <w:szCs w:val="32"/>
        </w:rPr>
        <w:t>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w:t>
      </w:r>
      <w:r>
        <w:rPr>
          <w:rFonts w:ascii="Times New Roman" w:hAnsi="Times New Roman" w:eastAsia="仿宋_GB2312"/>
          <w:sz w:val="32"/>
          <w:szCs w:val="32"/>
        </w:rPr>
        <w:t>20</w:t>
      </w:r>
      <w:r>
        <w:rPr>
          <w:rFonts w:hint="eastAsia" w:ascii="Times New Roman" w:hAnsi="Times New Roman" w:eastAsia="仿宋_GB2312"/>
          <w:sz w:val="32"/>
          <w:szCs w:val="32"/>
        </w:rPr>
        <w:t>21年决算数持平。</w:t>
      </w:r>
    </w:p>
    <w:p>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47" w:name="_Toc15377223"/>
      <w:r>
        <w:rPr>
          <w:rFonts w:hint="eastAsia" w:ascii="Times New Roman" w:hAnsi="Times New Roman" w:eastAsia="仿宋"/>
          <w:b/>
          <w:sz w:val="32"/>
          <w:szCs w:val="32"/>
        </w:rPr>
        <w:t>（二）政府采购支出情况</w:t>
      </w:r>
      <w:bookmarkEnd w:id="47"/>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22年，</w:t>
      </w:r>
      <w:r>
        <w:rPr>
          <w:rFonts w:hint="eastAsia" w:ascii="Times New Roman" w:hAnsi="Times New Roman" w:eastAsia="仿宋_GB2312"/>
          <w:sz w:val="32"/>
          <w:szCs w:val="32"/>
          <w:lang w:eastAsia="zh-CN"/>
        </w:rPr>
        <w:t>市农林科学院</w:t>
      </w:r>
      <w:r>
        <w:rPr>
          <w:rFonts w:hint="eastAsia" w:ascii="Times New Roman" w:hAnsi="Times New Roman" w:eastAsia="仿宋_GB2312"/>
          <w:sz w:val="32"/>
          <w:szCs w:val="32"/>
        </w:rPr>
        <w:t>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w:t>
      </w:r>
    </w:p>
    <w:p>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48" w:name="_Toc15377224"/>
      <w:r>
        <w:rPr>
          <w:rFonts w:hint="eastAsia" w:ascii="Times New Roman" w:hAnsi="Times New Roman"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Times New Roman" w:hAnsi="Times New Roman" w:eastAsia="仿宋"/>
          <w:b/>
          <w:sz w:val="32"/>
          <w:szCs w:val="32"/>
        </w:rPr>
      </w:pPr>
      <w:r>
        <w:rPr>
          <w:rFonts w:hint="eastAsia" w:ascii="Times New Roman" w:hAnsi="Times New Roman" w:eastAsia="仿宋_GB2312"/>
          <w:sz w:val="32"/>
          <w:szCs w:val="32"/>
        </w:rPr>
        <w:t>截至</w:t>
      </w:r>
      <w:r>
        <w:rPr>
          <w:rFonts w:ascii="Times New Roman" w:hAnsi="Times New Roman" w:eastAsia="仿宋_GB2312"/>
          <w:sz w:val="32"/>
          <w:szCs w:val="32"/>
        </w:rPr>
        <w:t>20</w:t>
      </w:r>
      <w:r>
        <w:rPr>
          <w:rFonts w:hint="eastAsia" w:ascii="Times New Roman" w:hAnsi="Times New Roman" w:eastAsia="仿宋_GB2312"/>
          <w:sz w:val="32"/>
          <w:szCs w:val="32"/>
        </w:rPr>
        <w:t>22年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市农林科学院</w:t>
      </w:r>
      <w:r>
        <w:rPr>
          <w:rFonts w:hint="eastAsia" w:ascii="Times New Roman" w:hAnsi="Times New Roman" w:eastAsia="仿宋_GB2312"/>
          <w:sz w:val="32"/>
          <w:szCs w:val="32"/>
        </w:rPr>
        <w:t>共有车辆</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特种专业技术用车</w:t>
      </w:r>
      <w:r>
        <w:rPr>
          <w:rFonts w:hint="eastAsia" w:ascii="Times New Roman" w:hAnsi="Times New Roman" w:eastAsia="仿宋_GB2312"/>
          <w:sz w:val="32"/>
          <w:szCs w:val="32"/>
          <w:lang w:val="en-US" w:eastAsia="zh-CN"/>
        </w:rPr>
        <w:t>2辆、</w:t>
      </w:r>
      <w:r>
        <w:rPr>
          <w:rFonts w:hint="eastAsia" w:ascii="Times New Roman" w:hAnsi="Times New Roman" w:eastAsia="仿宋_GB2312"/>
          <w:sz w:val="32"/>
          <w:szCs w:val="32"/>
        </w:rPr>
        <w:t>其他用车</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辆，其他用车主要是用于</w:t>
      </w:r>
      <w:r>
        <w:rPr>
          <w:rFonts w:hint="eastAsia" w:ascii="Times New Roman" w:hAnsi="Times New Roman" w:eastAsia="仿宋_GB2312"/>
          <w:sz w:val="32"/>
          <w:szCs w:val="32"/>
          <w:lang w:eastAsia="zh-CN"/>
        </w:rPr>
        <w:t>开展业务活动</w:t>
      </w:r>
      <w:r>
        <w:rPr>
          <w:rFonts w:hint="eastAsia" w:ascii="Times New Roman" w:hAnsi="Times New Roman" w:eastAsia="仿宋_GB2312"/>
          <w:sz w:val="32"/>
          <w:szCs w:val="32"/>
        </w:rPr>
        <w:t>。单价</w:t>
      </w:r>
      <w:r>
        <w:rPr>
          <w:rFonts w:ascii="Times New Roman" w:hAnsi="Times New Roman" w:eastAsia="仿宋_GB2312"/>
          <w:sz w:val="32"/>
          <w:szCs w:val="32"/>
        </w:rPr>
        <w:t>100</w:t>
      </w:r>
      <w:r>
        <w:rPr>
          <w:rFonts w:hint="eastAsia" w:ascii="Times New Roman" w:hAnsi="Times New Roman" w:eastAsia="仿宋_GB2312"/>
          <w:sz w:val="32"/>
          <w:szCs w:val="32"/>
        </w:rPr>
        <w:t>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hint="eastAsia" w:ascii="Times New Roman" w:hAnsi="Times New Roman" w:eastAsia="仿宋"/>
          <w:b/>
          <w:sz w:val="32"/>
          <w:szCs w:val="32"/>
        </w:rPr>
        <w:t>（四）预算绩效管理情况</w:t>
      </w:r>
    </w:p>
    <w:p>
      <w:pPr>
        <w:pStyle w:val="38"/>
        <w:spacing w:line="560" w:lineRule="exact"/>
        <w:jc w:val="left"/>
        <w:rPr>
          <w:rFonts w:ascii="Times New Roman" w:hAnsi="Times New Roman" w:eastAsia="仿宋_GB2312"/>
          <w:b/>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根据预算绩效管理要求，本部门在2022年度预算编制阶段，组织对</w:t>
      </w:r>
      <w:r>
        <w:rPr>
          <w:rFonts w:hint="eastAsia" w:ascii="Times New Roman" w:hAnsi="Times New Roman" w:eastAsia="仿宋_GB2312" w:cs="仿宋_GB2312"/>
          <w:sz w:val="32"/>
          <w:szCs w:val="32"/>
          <w:lang w:val="en-US" w:eastAsia="zh-CN"/>
        </w:rPr>
        <w:t>乡村振兴衔接补助资金</w:t>
      </w:r>
      <w:r>
        <w:rPr>
          <w:rFonts w:hint="eastAsia" w:ascii="Times New Roman" w:hAnsi="Times New Roman" w:eastAsia="仿宋_GB2312" w:cs="仿宋_GB2312"/>
          <w:sz w:val="32"/>
          <w:szCs w:val="32"/>
          <w:lang w:val="en-US"/>
        </w:rPr>
        <w:t>特色农业种业创新研究与示范</w:t>
      </w:r>
      <w:r>
        <w:rPr>
          <w:rFonts w:hint="eastAsia" w:ascii="Times New Roman" w:hAnsi="Times New Roman" w:eastAsia="仿宋_GB2312" w:cs="仿宋_GB2312"/>
          <w:sz w:val="32"/>
          <w:szCs w:val="32"/>
          <w:lang w:val="en-US" w:eastAsia="zh-CN"/>
        </w:rPr>
        <w:t>项目</w:t>
      </w:r>
      <w:r>
        <w:rPr>
          <w:rFonts w:hint="eastAsia" w:ascii="Times New Roman" w:hAnsi="Times New Roman" w:eastAsia="仿宋_GB2312" w:cs="仿宋_GB2312"/>
          <w:sz w:val="32"/>
          <w:szCs w:val="32"/>
        </w:rPr>
        <w:t>（项目名称）等</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个项目开展了预算事前绩效评估，对</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个项目编制了绩效目标，预算执行过程中，选取</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个项目开展绩效监控。组织对2022年度一般公共预算、政府性基金预算、国有资本经营预算、社会保险基金预算以及资本资产、债券资金等全面开展绩效自评，形成</w:t>
      </w:r>
      <w:r>
        <w:rPr>
          <w:rFonts w:hint="eastAsia" w:ascii="Times New Roman" w:hAnsi="Times New Roman" w:eastAsia="仿宋_GB2312" w:cs="仿宋_GB2312"/>
          <w:sz w:val="32"/>
          <w:szCs w:val="32"/>
          <w:lang w:eastAsia="zh-CN"/>
        </w:rPr>
        <w:t>市农林科学院</w:t>
      </w:r>
      <w:r>
        <w:rPr>
          <w:rFonts w:hint="eastAsia" w:ascii="Times New Roman" w:hAnsi="Times New Roman" w:eastAsia="仿宋_GB2312" w:cs="仿宋_GB2312"/>
          <w:sz w:val="32"/>
          <w:szCs w:val="32"/>
        </w:rPr>
        <w:t>部门整体（含部门预算项目）绩效自评报告、</w:t>
      </w:r>
      <w:r>
        <w:rPr>
          <w:rFonts w:hint="eastAsia" w:ascii="Times New Roman" w:hAnsi="Times New Roman" w:eastAsia="仿宋_GB2312" w:cs="仿宋_GB2312"/>
          <w:sz w:val="32"/>
          <w:szCs w:val="32"/>
          <w:lang w:eastAsia="zh-CN"/>
        </w:rPr>
        <w:t>市农林科学院</w:t>
      </w:r>
      <w:r>
        <w:rPr>
          <w:rFonts w:hint="eastAsia" w:ascii="Times New Roman" w:hAnsi="Times New Roman" w:eastAsia="仿宋_GB2312" w:cs="仿宋_GB2312"/>
          <w:sz w:val="32"/>
          <w:szCs w:val="32"/>
        </w:rPr>
        <w:t>专项预算项目绩效自评报告，其中，</w:t>
      </w:r>
      <w:r>
        <w:rPr>
          <w:rFonts w:hint="eastAsia" w:ascii="Times New Roman" w:hAnsi="Times New Roman" w:eastAsia="仿宋_GB2312" w:cs="仿宋_GB2312"/>
          <w:sz w:val="32"/>
          <w:szCs w:val="32"/>
          <w:lang w:eastAsia="zh-CN"/>
        </w:rPr>
        <w:t>市农林科学院</w:t>
      </w:r>
      <w:r>
        <w:rPr>
          <w:rFonts w:hint="eastAsia" w:ascii="Times New Roman" w:hAnsi="Times New Roman" w:eastAsia="仿宋_GB2312" w:cs="仿宋_GB2312"/>
          <w:sz w:val="32"/>
          <w:szCs w:val="32"/>
        </w:rPr>
        <w:t>部门整体（含部门预算项目）绩效自评得分为</w:t>
      </w:r>
      <w:r>
        <w:rPr>
          <w:rFonts w:hint="eastAsia" w:ascii="Times New Roman" w:hAnsi="Times New Roman" w:eastAsia="仿宋_GB2312" w:cs="仿宋_GB2312"/>
          <w:sz w:val="32"/>
          <w:szCs w:val="32"/>
          <w:lang w:val="en-US" w:eastAsia="zh-CN"/>
        </w:rPr>
        <w:t>94.34</w:t>
      </w:r>
      <w:r>
        <w:rPr>
          <w:rFonts w:hint="eastAsia" w:ascii="Times New Roman" w:hAnsi="Times New Roman" w:eastAsia="仿宋_GB2312" w:cs="仿宋_GB2312"/>
          <w:sz w:val="32"/>
          <w:szCs w:val="32"/>
        </w:rPr>
        <w:t>分，绩效自评综述：市农林科学院完成了2022年的目标和任务 ，进一步提升了全院科技创新能力和科研平台水平，夯实创新基础，有效促进全市特色效益农业提质增效，同时项目管理基本规范，资金管理符合有关要求；</w:t>
      </w:r>
      <w:r>
        <w:rPr>
          <w:rFonts w:hint="eastAsia" w:ascii="Times New Roman" w:hAnsi="Times New Roman" w:eastAsia="仿宋_GB2312" w:cs="仿宋_GB2312"/>
          <w:sz w:val="32"/>
          <w:szCs w:val="32"/>
          <w:lang w:eastAsia="zh-CN"/>
        </w:rPr>
        <w:t>市农林科学院</w:t>
      </w:r>
      <w:r>
        <w:rPr>
          <w:rFonts w:hint="eastAsia" w:ascii="Times New Roman" w:hAnsi="Times New Roman" w:eastAsia="仿宋_GB2312" w:cs="仿宋_GB2312"/>
          <w:sz w:val="32"/>
          <w:szCs w:val="32"/>
        </w:rPr>
        <w:t>专项预算项目绩效自评得分为</w:t>
      </w:r>
      <w:r>
        <w:rPr>
          <w:rFonts w:hint="eastAsia" w:ascii="Times New Roman" w:hAnsi="Times New Roman" w:eastAsia="仿宋_GB2312" w:cs="仿宋_GB2312"/>
          <w:sz w:val="32"/>
          <w:szCs w:val="32"/>
          <w:lang w:val="en-US" w:eastAsia="zh-CN"/>
        </w:rPr>
        <w:t>97</w:t>
      </w:r>
      <w:r>
        <w:rPr>
          <w:rFonts w:hint="eastAsia" w:ascii="Times New Roman" w:hAnsi="Times New Roman" w:eastAsia="仿宋_GB2312" w:cs="仿宋_GB2312"/>
          <w:sz w:val="32"/>
          <w:szCs w:val="32"/>
        </w:rPr>
        <w:t>分，绩效自评综述：</w:t>
      </w:r>
      <w:r>
        <w:rPr>
          <w:rFonts w:hint="eastAsia" w:ascii="Times New Roman" w:hAnsi="Times New Roman" w:eastAsia="仿宋_GB2312" w:cs="仿宋_GB2312"/>
          <w:kern w:val="0"/>
          <w:sz w:val="32"/>
          <w:szCs w:val="32"/>
          <w:shd w:val="clear" w:color="auto" w:fill="FFFFFF"/>
          <w:lang w:val="zh-CN"/>
        </w:rPr>
        <w:t>2022年全面完成了年度目标任务，验收15项，申报成果奖励</w:t>
      </w:r>
      <w:r>
        <w:rPr>
          <w:rFonts w:hint="eastAsia" w:ascii="Times New Roman" w:hAnsi="Times New Roman" w:eastAsia="仿宋_GB2312" w:cs="仿宋_GB2312"/>
          <w:kern w:val="0"/>
          <w:sz w:val="32"/>
          <w:szCs w:val="32"/>
          <w:shd w:val="clear" w:color="auto" w:fill="FFFFFF"/>
          <w:lang w:val="en-US" w:eastAsia="zh-CN"/>
        </w:rPr>
        <w:t>3项，</w:t>
      </w:r>
      <w:r>
        <w:rPr>
          <w:rFonts w:hint="eastAsia" w:ascii="Times New Roman" w:hAnsi="Times New Roman" w:eastAsia="仿宋_GB2312" w:cs="仿宋_GB2312"/>
          <w:kern w:val="0"/>
          <w:sz w:val="32"/>
          <w:szCs w:val="32"/>
          <w:shd w:val="clear" w:color="auto" w:fill="FFFFFF"/>
          <w:lang w:val="zh-CN"/>
        </w:rPr>
        <w:t>取得1项新的科研成果，对区域主导产业起到了引领和科技支撑作用。</w:t>
      </w:r>
      <w:r>
        <w:rPr>
          <w:rFonts w:hint="eastAsia" w:ascii="Times New Roman" w:hAnsi="Times New Roman" w:eastAsia="仿宋_GB2312" w:cs="仿宋_GB2312"/>
          <w:sz w:val="32"/>
          <w:szCs w:val="32"/>
        </w:rPr>
        <w:t>绩效自评报告详见附件。</w:t>
      </w:r>
      <w:r>
        <w:rPr>
          <w:rFonts w:ascii="Times New Roman" w:hAnsi="Times New Roman" w:eastAsia="仿宋_GB2312"/>
          <w:b/>
          <w:sz w:val="32"/>
          <w:szCs w:val="32"/>
        </w:rPr>
        <w:br w:type="page"/>
      </w:r>
    </w:p>
    <w:p>
      <w:pPr>
        <w:numPr>
          <w:ilvl w:val="0"/>
          <w:numId w:val="5"/>
        </w:numPr>
        <w:spacing w:line="600" w:lineRule="exact"/>
        <w:ind w:firstLine="660" w:firstLineChars="150"/>
        <w:jc w:val="center"/>
        <w:outlineLvl w:val="0"/>
        <w:rPr>
          <w:rStyle w:val="32"/>
          <w:rFonts w:ascii="Times New Roman" w:hAnsi="Times New Roman" w:eastAsia="黑体"/>
          <w:b w:val="0"/>
        </w:rPr>
      </w:pPr>
      <w:bookmarkStart w:id="49" w:name="_Toc15377225"/>
      <w:bookmarkStart w:id="50" w:name="_Toc15396613"/>
      <w:r>
        <w:rPr>
          <w:rFonts w:hint="eastAsia" w:ascii="Times New Roman" w:hAnsi="Times New Roman" w:eastAsia="黑体"/>
          <w:sz w:val="44"/>
          <w:szCs w:val="44"/>
        </w:rPr>
        <w:t>名</w:t>
      </w:r>
      <w:r>
        <w:rPr>
          <w:rStyle w:val="32"/>
          <w:rFonts w:hint="eastAsia" w:ascii="Times New Roman" w:hAnsi="Times New Roman" w:eastAsia="黑体"/>
          <w:b w:val="0"/>
        </w:rPr>
        <w:t>词解释</w:t>
      </w:r>
      <w:bookmarkEnd w:id="49"/>
      <w:bookmarkEnd w:id="50"/>
    </w:p>
    <w:p>
      <w:pPr>
        <w:spacing w:line="600" w:lineRule="exact"/>
        <w:jc w:val="left"/>
        <w:rPr>
          <w:rFonts w:ascii="Times New Roman" w:hAnsi="Times New Roman"/>
          <w:b/>
          <w:sz w:val="44"/>
          <w:szCs w:val="44"/>
        </w:rPr>
      </w:pPr>
    </w:p>
    <w:p>
      <w:pPr>
        <w:pStyle w:val="3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财政拨款收入：指单位从同级财政部门取得的财政预算资金。</w:t>
      </w:r>
    </w:p>
    <w:p>
      <w:pPr>
        <w:pStyle w:val="30"/>
        <w:spacing w:line="56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事业收入：指事业单位开展专业业务活动及辅助活动取得的收入。</w:t>
      </w:r>
    </w:p>
    <w:p>
      <w:pPr>
        <w:pStyle w:val="30"/>
        <w:spacing w:line="560" w:lineRule="exact"/>
        <w:ind w:firstLine="640" w:firstLineChars="200"/>
        <w:rPr>
          <w:rFonts w:hint="eastAsia"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经营收入：指事业单位在专业业务活动及其辅助活动之外开展非独立核算经营活动取得的收入。</w:t>
      </w:r>
    </w:p>
    <w:p>
      <w:pPr>
        <w:pStyle w:val="3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其他收入：指单位取得的除上述收入以外的各项收入。</w:t>
      </w:r>
      <w:r>
        <w:rPr>
          <w:rFonts w:ascii="Times New Roman" w:hAnsi="Times New Roman" w:eastAsia="仿宋_GB2312"/>
          <w:color w:val="auto"/>
          <w:sz w:val="32"/>
          <w:szCs w:val="32"/>
        </w:rPr>
        <w:t xml:space="preserve"> </w:t>
      </w:r>
    </w:p>
    <w:p>
      <w:pPr>
        <w:pStyle w:val="3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使用非财政拨款结余：指事业单位使用以前年度积累的非财政拨款结余弥补当年收支差额的金额。</w:t>
      </w:r>
      <w:r>
        <w:rPr>
          <w:rFonts w:ascii="Times New Roman" w:hAnsi="Times New Roman" w:eastAsia="仿宋_GB2312"/>
          <w:color w:val="auto"/>
          <w:sz w:val="32"/>
          <w:szCs w:val="32"/>
        </w:rPr>
        <w:t xml:space="preserve"> </w:t>
      </w:r>
    </w:p>
    <w:p>
      <w:pPr>
        <w:pStyle w:val="3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年初结转和结余：指以前年度尚未完成、结转到本年按有关规定继续使用的资金。</w:t>
      </w:r>
      <w:r>
        <w:rPr>
          <w:rFonts w:ascii="Times New Roman" w:hAnsi="Times New Roman" w:eastAsia="仿宋_GB2312"/>
          <w:color w:val="auto"/>
          <w:sz w:val="32"/>
          <w:szCs w:val="32"/>
        </w:rPr>
        <w:t xml:space="preserve"> </w:t>
      </w:r>
    </w:p>
    <w:p>
      <w:pPr>
        <w:pStyle w:val="3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w:t>
      </w:r>
      <w:r>
        <w:rPr>
          <w:rFonts w:hint="eastAsia" w:ascii="Times New Roman" w:hAnsi="Times New Roman" w:eastAsia="仿宋_GB2312"/>
          <w:color w:val="auto"/>
          <w:sz w:val="32"/>
          <w:szCs w:val="32"/>
        </w:rPr>
        <w:t>结余分配：指事业单位按照会计制度规定缴纳的所得税、提取的专用结余以及转入非财政拨款结余的金额等。</w:t>
      </w:r>
    </w:p>
    <w:p>
      <w:pPr>
        <w:pStyle w:val="3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.年末结转和结余：指单位按有关规定结转到下年或以后年度继续使用的资金。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组织事务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其他组织事务支出</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反映除上述项目以外其他用于中国共产党组织部门的事务支出</w:t>
      </w:r>
      <w:r>
        <w:rPr>
          <w:rFonts w:hint="eastAsia" w:ascii="Times New Roman" w:hAnsi="Times New Roman" w:eastAsia="仿宋_GB2312"/>
          <w:sz w:val="32"/>
          <w:szCs w:val="32"/>
        </w:rPr>
        <w:t>。</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w:t>
      </w:r>
      <w:r>
        <w:rPr>
          <w:rFonts w:hint="eastAsia" w:ascii="Times New Roman" w:hAnsi="Times New Roman" w:eastAsia="仿宋_GB2312"/>
          <w:sz w:val="32"/>
          <w:szCs w:val="32"/>
        </w:rPr>
        <w:t>科学技术（类）</w:t>
      </w:r>
      <w:r>
        <w:rPr>
          <w:rFonts w:hint="eastAsia" w:ascii="Times New Roman" w:hAnsi="Times New Roman" w:eastAsia="仿宋_GB2312"/>
          <w:sz w:val="32"/>
          <w:szCs w:val="32"/>
          <w:lang w:eastAsia="zh-CN"/>
        </w:rPr>
        <w:t>应用研究</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社会公益研究</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从事卫生、劳务保护、计划生育、环境科学、农业等社会公益专项科研方面支出</w:t>
      </w:r>
      <w:r>
        <w:rPr>
          <w:rFonts w:hint="eastAsia" w:ascii="Times New Roman" w:hAnsi="Times New Roman" w:eastAsia="仿宋_GB2312"/>
          <w:sz w:val="32"/>
          <w:szCs w:val="32"/>
        </w:rPr>
        <w:t>。</w:t>
      </w:r>
    </w:p>
    <w:p>
      <w:pPr>
        <w:pStyle w:val="16"/>
        <w:ind w:left="0" w:leftChars="0"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rPr>
        <w:t>科学技术（类）</w:t>
      </w:r>
      <w:r>
        <w:rPr>
          <w:rFonts w:hint="eastAsia" w:ascii="Times New Roman" w:hAnsi="Times New Roman" w:eastAsia="仿宋_GB2312"/>
          <w:sz w:val="32"/>
          <w:szCs w:val="32"/>
          <w:lang w:eastAsia="zh-CN"/>
        </w:rPr>
        <w:t>技术研究与开发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科技成果转化与扩散</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促进科技成果转化为现实生产力的应用、推广和引导性支出，以及基本建设支出中用于支持企业科技自主创新的支出。</w:t>
      </w:r>
    </w:p>
    <w:p>
      <w:pPr>
        <w:ind w:firstLine="320" w:firstLineChars="1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w:t>
      </w:r>
      <w:r>
        <w:rPr>
          <w:rFonts w:hint="eastAsia" w:ascii="Times New Roman" w:hAnsi="Times New Roman" w:eastAsia="仿宋_GB2312"/>
          <w:sz w:val="32"/>
          <w:szCs w:val="32"/>
        </w:rPr>
        <w:t>科学技术（类）</w:t>
      </w:r>
      <w:r>
        <w:rPr>
          <w:rFonts w:hint="eastAsia" w:ascii="Times New Roman" w:hAnsi="Times New Roman" w:eastAsia="仿宋_GB2312"/>
          <w:sz w:val="32"/>
          <w:szCs w:val="32"/>
          <w:lang w:eastAsia="zh-CN"/>
        </w:rPr>
        <w:t>其他科学技术支出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其他科学技术支出</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其他科学技术支出中除以上各项外用于科技方面的支出。</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rPr>
        <w:t>社会保障和就业（类）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事业单位离退休</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事业单位开支的离退休经费</w:t>
      </w:r>
      <w:r>
        <w:rPr>
          <w:rFonts w:hint="eastAsia" w:ascii="Times New Roman" w:hAnsi="Times New Roman" w:eastAsia="仿宋_GB2312"/>
          <w:sz w:val="32"/>
          <w:szCs w:val="32"/>
        </w:rPr>
        <w:t>。</w:t>
      </w:r>
    </w:p>
    <w:p>
      <w:pPr>
        <w:ind w:firstLine="320" w:firstLineChars="100"/>
        <w:rPr>
          <w:rFonts w:hint="eastAsia"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社会保障和就业（类）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机关事业单位实施养老保险制度由单位缴纳的基本养老保险支出</w:t>
      </w:r>
      <w:r>
        <w:rPr>
          <w:rFonts w:hint="eastAsia" w:ascii="Times New Roman" w:hAnsi="Times New Roman" w:eastAsia="仿宋_GB2312"/>
          <w:sz w:val="32"/>
          <w:szCs w:val="32"/>
        </w:rPr>
        <w:t>。</w:t>
      </w:r>
    </w:p>
    <w:p>
      <w:pPr>
        <w:pStyle w:val="16"/>
        <w:ind w:left="0" w:leftChars="0" w:firstLine="0" w:firstLineChars="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15.</w:t>
      </w:r>
      <w:r>
        <w:rPr>
          <w:rFonts w:hint="eastAsia" w:ascii="Times New Roman" w:hAnsi="Times New Roman" w:eastAsia="仿宋_GB2312"/>
          <w:sz w:val="32"/>
          <w:szCs w:val="32"/>
        </w:rPr>
        <w:t>社会保障和就业（类）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死亡抚恤</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按规定用于烈士和牺牲、病故人员家属的一次性和定期抚恤金、丧葬补助费以及烈士褒扬金。</w:t>
      </w:r>
    </w:p>
    <w:p>
      <w:pPr>
        <w:ind w:firstLine="320" w:firstLineChars="1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社会保障和就业（类）</w:t>
      </w:r>
      <w:r>
        <w:rPr>
          <w:rFonts w:hint="eastAsia" w:ascii="Times New Roman" w:hAnsi="Times New Roman" w:eastAsia="仿宋_GB2312"/>
          <w:sz w:val="32"/>
          <w:szCs w:val="32"/>
          <w:lang w:val="en-US" w:eastAsia="zh-CN"/>
        </w:rPr>
        <w:t>社会福利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儿童福利</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对儿童提供福利服务方面的支出。</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事业运行</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反映用于农业事业单位基本支出，事业单位实施、系统运行与资产维护等方面的支出</w:t>
      </w:r>
      <w:r>
        <w:rPr>
          <w:rFonts w:hint="eastAsia" w:ascii="Times New Roman" w:hAnsi="Times New Roman" w:eastAsia="仿宋_GB2312"/>
          <w:sz w:val="32"/>
          <w:szCs w:val="32"/>
        </w:rPr>
        <w:t>。</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科技转化与推广服务</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反映用于农业科技成果转化，农业科技人才奖励，农业新品种、新机具、新技术引进、试验、示范、推广及服务，农村人居环境整治等方面的技术试验示范支出</w:t>
      </w:r>
      <w:r>
        <w:rPr>
          <w:rFonts w:hint="eastAsia" w:ascii="Times New Roman" w:hAnsi="Times New Roman" w:eastAsia="仿宋_GB2312"/>
          <w:sz w:val="32"/>
          <w:szCs w:val="32"/>
        </w:rPr>
        <w:t>。</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19.</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其他农业农村支出</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反映除上述项目以外其他用于农业农村方面的支出</w:t>
      </w:r>
      <w:r>
        <w:rPr>
          <w:rFonts w:hint="eastAsia" w:ascii="Times New Roman" w:hAnsi="Times New Roman" w:eastAsia="仿宋_GB2312"/>
          <w:sz w:val="32"/>
          <w:szCs w:val="32"/>
        </w:rPr>
        <w:t>。</w:t>
      </w:r>
    </w:p>
    <w:p>
      <w:pPr>
        <w:ind w:firstLine="320" w:firstLineChars="100"/>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林业和草原</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技术推广与转化</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反映良种繁育、新技术引进、区域化试验、示范、技术推广、成果转化、科学普及等方面的支出</w:t>
      </w:r>
      <w:r>
        <w:rPr>
          <w:rFonts w:hint="eastAsia" w:ascii="Times New Roman" w:hAnsi="Times New Roman" w:eastAsia="仿宋_GB2312"/>
          <w:sz w:val="32"/>
          <w:szCs w:val="32"/>
        </w:rPr>
        <w:t>。</w:t>
      </w:r>
    </w:p>
    <w:p>
      <w:pPr>
        <w:ind w:firstLine="320" w:firstLineChars="100"/>
        <w:rPr>
          <w:rFonts w:hint="default" w:ascii="Times New Roman" w:hAnsi="Times New Roman"/>
          <w:lang w:val="en-US" w:eastAsia="zh-CN"/>
        </w:rPr>
      </w:pP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林业和草原</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其他林业和草原支出</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反映上述项目以外其他用于林业和草原方面的支出</w:t>
      </w:r>
      <w:r>
        <w:rPr>
          <w:rFonts w:hint="eastAsia" w:ascii="Times New Roman" w:hAnsi="Times New Roman" w:eastAsia="仿宋_GB2312"/>
          <w:sz w:val="32"/>
          <w:szCs w:val="32"/>
        </w:rPr>
        <w:t>。</w:t>
      </w:r>
    </w:p>
    <w:p>
      <w:pPr>
        <w:ind w:firstLine="320" w:firstLineChars="100"/>
        <w:rPr>
          <w:rFonts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w:t>
      </w:r>
      <w:r>
        <w:rPr>
          <w:rFonts w:hint="eastAsia" w:ascii="Times New Roman" w:hAnsi="Times New Roman" w:eastAsia="仿宋_GB2312"/>
          <w:sz w:val="32"/>
          <w:szCs w:val="32"/>
        </w:rPr>
        <w:t>农林水（类）</w:t>
      </w:r>
      <w:r>
        <w:rPr>
          <w:rFonts w:hint="eastAsia" w:ascii="Times New Roman" w:hAnsi="Times New Roman" w:eastAsia="仿宋_GB2312"/>
          <w:sz w:val="32"/>
          <w:szCs w:val="32"/>
          <w:lang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其他巩固脱贫衔接乡村振兴支出</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反映除上述项目以外其他用于巩固拓展脱贫攻坚成果同乡村振兴有效衔接方面的支出</w:t>
      </w:r>
      <w:r>
        <w:rPr>
          <w:rFonts w:hint="eastAsia" w:ascii="Times New Roman" w:hAnsi="Times New Roman" w:eastAsia="仿宋_GB2312"/>
          <w:sz w:val="32"/>
          <w:szCs w:val="32"/>
        </w:rPr>
        <w:t>。</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rPr>
        <w:t>住房保障（类）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（项）：指</w:t>
      </w:r>
      <w:r>
        <w:rPr>
          <w:rFonts w:hint="eastAsia" w:ascii="Times New Roman" w:hAnsi="Times New Roman" w:eastAsia="仿宋_GB2312"/>
          <w:sz w:val="32"/>
          <w:szCs w:val="32"/>
          <w:lang w:eastAsia="zh-CN"/>
        </w:rPr>
        <w:t>反映行政事业单位按人力资源和社会保障部、财政部规定的基本工资和津贴补贴以及规定比列为职工缴纳的住房公积金</w:t>
      </w:r>
      <w:r>
        <w:rPr>
          <w:rFonts w:hint="eastAsia" w:ascii="Times New Roman" w:hAnsi="Times New Roman" w:eastAsia="仿宋_GB2312"/>
          <w:sz w:val="32"/>
          <w:szCs w:val="32"/>
        </w:rPr>
        <w:t>。</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基本支出：指为保障机构正常运转、完成日常工作任务而发生的人员支出和公用支出。</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rPr>
        <w:t>项目支出：指在基本支出之外为完成特定行政任务和事业发展目标所发生的支出。</w:t>
      </w:r>
      <w:r>
        <w:rPr>
          <w:rFonts w:ascii="Times New Roman" w:hAnsi="Times New Roman" w:eastAsia="仿宋_GB2312"/>
          <w:sz w:val="32"/>
          <w:szCs w:val="32"/>
        </w:rPr>
        <w:t xml:space="preserve"> </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hint="eastAsia" w:ascii="Times New Roman" w:hAnsi="Times New Roman" w:eastAsia="仿宋_GB2312"/>
          <w:sz w:val="32"/>
          <w:szCs w:val="32"/>
        </w:rPr>
        <w:t>经营支出：指事业单位在专业业务活动及其辅助活动之外开展非独立核算经营活动发生的支出。</w:t>
      </w:r>
    </w:p>
    <w:p>
      <w:pPr>
        <w:pStyle w:val="30"/>
        <w:spacing w:line="560" w:lineRule="exact"/>
        <w:ind w:firstLine="320" w:firstLineChars="1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27</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320" w:firstLineChars="1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28</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ascii="Times New Roman" w:hAnsi="Times New Roman" w:eastAsia="仿宋_GB2312" w:cs="黑体"/>
          <w:color w:val="auto"/>
          <w:sz w:val="32"/>
          <w:szCs w:val="32"/>
        </w:rPr>
      </w:pPr>
    </w:p>
    <w:p>
      <w:pPr>
        <w:spacing w:line="600" w:lineRule="exact"/>
        <w:jc w:val="center"/>
        <w:outlineLvl w:val="0"/>
        <w:rPr>
          <w:rStyle w:val="32"/>
          <w:rFonts w:ascii="Times New Roman" w:hAnsi="Times New Roman" w:eastAsia="黑体"/>
          <w:b w:val="0"/>
        </w:rPr>
      </w:pPr>
      <w:bookmarkStart w:id="51" w:name="_Toc15377226"/>
      <w:r>
        <w:rPr>
          <w:rFonts w:ascii="Times New Roman" w:hAnsi="Times New Roman"/>
          <w:b/>
          <w:sz w:val="44"/>
          <w:szCs w:val="44"/>
        </w:rPr>
        <w:br w:type="page"/>
      </w:r>
      <w:bookmarkStart w:id="52" w:name="_Toc15396614"/>
      <w:r>
        <w:rPr>
          <w:rFonts w:hint="eastAsia" w:ascii="Times New Roman" w:hAnsi="Times New Roman" w:eastAsia="黑体"/>
          <w:sz w:val="44"/>
          <w:szCs w:val="44"/>
        </w:rPr>
        <w:t>第</w:t>
      </w:r>
      <w:r>
        <w:rPr>
          <w:rStyle w:val="32"/>
          <w:rFonts w:hint="eastAsia" w:ascii="Times New Roman" w:hAnsi="Times New Roman" w:eastAsia="黑体"/>
          <w:b w:val="0"/>
        </w:rPr>
        <w:t>四部分 附件</w:t>
      </w:r>
      <w:bookmarkEnd w:id="52"/>
    </w:p>
    <w:p>
      <w:pPr>
        <w:widowControl/>
        <w:spacing w:line="560" w:lineRule="exact"/>
        <w:contextualSpacing/>
        <w:jc w:val="both"/>
        <w:rPr>
          <w:rFonts w:hint="eastAsia" w:ascii="Times New Roman" w:hAnsi="Times New Roman" w:eastAsia="方正仿宋_GBK" w:cs="方正仿宋_GBK"/>
          <w:b w:val="0"/>
          <w:bCs/>
          <w:sz w:val="33"/>
          <w:szCs w:val="33"/>
          <w:shd w:val="clear" w:color="auto" w:fill="FFFFFF"/>
          <w:lang w:val="en-US" w:eastAsia="zh-CN"/>
        </w:rPr>
      </w:pPr>
      <w:r>
        <w:rPr>
          <w:rFonts w:hint="eastAsia" w:ascii="Times New Roman" w:hAnsi="Times New Roman" w:eastAsia="方正仿宋_GBK" w:cs="方正仿宋_GBK"/>
          <w:b w:val="0"/>
          <w:bCs/>
          <w:sz w:val="33"/>
          <w:szCs w:val="33"/>
          <w:shd w:val="clear" w:color="auto" w:fill="FFFFFF"/>
          <w:lang w:val="en-US" w:eastAsia="zh-CN"/>
        </w:rPr>
        <w:t>附件1</w:t>
      </w:r>
    </w:p>
    <w:p>
      <w:pPr>
        <w:widowControl/>
        <w:spacing w:line="560" w:lineRule="exact"/>
        <w:contextualSpacing/>
        <w:jc w:val="center"/>
        <w:rPr>
          <w:rFonts w:hint="eastAsia" w:ascii="Times New Roman" w:hAnsi="Times New Roman" w:eastAsia="方正小标宋_GBK" w:cs="方正小标宋_GBK"/>
          <w:b w:val="0"/>
          <w:bCs/>
          <w:sz w:val="38"/>
          <w:szCs w:val="38"/>
          <w:shd w:val="clear" w:color="auto" w:fill="FFFFFF"/>
        </w:rPr>
      </w:pPr>
      <w:r>
        <w:rPr>
          <w:rFonts w:hint="eastAsia" w:ascii="Times New Roman" w:hAnsi="Times New Roman" w:eastAsia="方正小标宋_GBK" w:cs="方正小标宋_GBK"/>
          <w:b w:val="0"/>
          <w:bCs/>
          <w:sz w:val="38"/>
          <w:szCs w:val="38"/>
          <w:shd w:val="clear" w:color="auto" w:fill="FFFFFF"/>
        </w:rPr>
        <w:t>2023年省级部门整体绩效评价报告</w:t>
      </w:r>
    </w:p>
    <w:p>
      <w:pPr>
        <w:pStyle w:val="16"/>
        <w:rPr>
          <w:rFonts w:ascii="Times New Roman" w:hAnsi="Times New Roman"/>
        </w:rPr>
      </w:pPr>
    </w:p>
    <w:p>
      <w:pPr>
        <w:keepNext w:val="0"/>
        <w:keepLines w:val="0"/>
        <w:pageBreakBefore w:val="0"/>
        <w:widowControl/>
        <w:numPr>
          <w:ilvl w:val="0"/>
          <w:numId w:val="6"/>
        </w:numPr>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ascii="Times New Roman" w:hAnsi="Times New Roman" w:eastAsia="黑体" w:cs="宋体"/>
          <w:kern w:val="0"/>
          <w:sz w:val="32"/>
          <w:szCs w:val="32"/>
          <w:shd w:val="clear" w:color="auto" w:fill="FFFFFF"/>
          <w:lang w:val="zh-CN"/>
        </w:rPr>
      </w:pPr>
      <w:r>
        <w:rPr>
          <w:rFonts w:hint="eastAsia" w:ascii="Times New Roman" w:hAnsi="Times New Roman" w:eastAsia="黑体" w:cs="宋体"/>
          <w:kern w:val="0"/>
          <w:sz w:val="32"/>
          <w:szCs w:val="32"/>
          <w:shd w:val="clear" w:color="auto" w:fill="FFFFFF"/>
          <w:lang w:val="zh-CN"/>
        </w:rPr>
        <w:t>部门（单位）基本情况</w:t>
      </w:r>
    </w:p>
    <w:p>
      <w:pPr>
        <w:keepNext w:val="0"/>
        <w:keepLines w:val="0"/>
        <w:pageBreakBefore w:val="0"/>
        <w:widowControl/>
        <w:numPr>
          <w:ilvl w:val="0"/>
          <w:numId w:val="7"/>
        </w:numPr>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hint="eastAsia" w:ascii="Times New Roman" w:hAnsi="Times New Roman" w:eastAsia="仿宋_GB2312"/>
          <w:color w:val="auto"/>
          <w:sz w:val="32"/>
          <w:szCs w:val="32"/>
          <w:lang w:val="zh-CN"/>
        </w:rPr>
      </w:pPr>
      <w:r>
        <w:rPr>
          <w:rFonts w:hint="eastAsia" w:ascii="Times New Roman" w:hAnsi="Times New Roman" w:eastAsia="楷体_GB2312" w:cs="楷体_GB2312"/>
          <w:b/>
          <w:bCs/>
          <w:kern w:val="0"/>
          <w:sz w:val="32"/>
          <w:szCs w:val="32"/>
          <w:shd w:val="clear" w:color="auto" w:fill="FFFFFF"/>
          <w:lang w:val="zh-CN"/>
        </w:rPr>
        <w:t>机构组成</w:t>
      </w:r>
      <w:r>
        <w:rPr>
          <w:rFonts w:hint="eastAsia" w:eastAsia="楷体_GB2312" w:cs="楷体_GB2312"/>
          <w:b/>
          <w:bCs/>
          <w:kern w:val="0"/>
          <w:sz w:val="32"/>
          <w:szCs w:val="32"/>
          <w:shd w:val="clear" w:color="auto" w:fill="FFFFFF"/>
          <w:lang w:val="zh-CN"/>
        </w:rPr>
        <w:t>。</w:t>
      </w:r>
      <w:r>
        <w:rPr>
          <w:rFonts w:hint="eastAsia" w:ascii="Times New Roman" w:hAnsi="Times New Roman" w:eastAsia="仿宋_GB2312"/>
          <w:color w:val="auto"/>
          <w:sz w:val="32"/>
          <w:szCs w:val="32"/>
          <w:lang w:eastAsia="zh-CN"/>
        </w:rPr>
        <w:t>市农林科学院</w:t>
      </w:r>
      <w:r>
        <w:rPr>
          <w:rFonts w:hint="eastAsia" w:ascii="Times New Roman" w:hAnsi="Times New Roman" w:eastAsia="仿宋_GB2312"/>
          <w:color w:val="auto"/>
          <w:sz w:val="32"/>
          <w:szCs w:val="32"/>
        </w:rPr>
        <w:t>独立事业编制机构数1个，独立核算机构数1个，单位内设机构14个，无下属二级单位，2022年度，纳入本部门决算汇编范围的独立核算单位 1个。当年机构数无变动。</w:t>
      </w:r>
    </w:p>
    <w:p>
      <w:pPr>
        <w:keepNext w:val="0"/>
        <w:keepLines w:val="0"/>
        <w:pageBreakBefore w:val="0"/>
        <w:widowControl/>
        <w:numPr>
          <w:ilvl w:val="0"/>
          <w:numId w:val="7"/>
        </w:numPr>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hint="eastAsia" w:ascii="Times New Roman" w:hAnsi="Times New Roman" w:eastAsia="仿宋_GB2312"/>
          <w:color w:val="auto"/>
          <w:sz w:val="32"/>
          <w:szCs w:val="32"/>
          <w:lang w:val="zh-CN" w:eastAsia="zh-CN"/>
        </w:rPr>
      </w:pPr>
      <w:r>
        <w:rPr>
          <w:rFonts w:hint="eastAsia" w:ascii="Times New Roman" w:hAnsi="Times New Roman" w:eastAsia="楷体_GB2312" w:cs="楷体_GB2312"/>
          <w:b/>
          <w:bCs/>
          <w:kern w:val="0"/>
          <w:sz w:val="32"/>
          <w:szCs w:val="32"/>
          <w:shd w:val="clear" w:color="auto" w:fill="FFFFFF"/>
          <w:lang w:val="zh-CN"/>
        </w:rPr>
        <w:t>机构职能和人员概况</w:t>
      </w:r>
      <w:r>
        <w:rPr>
          <w:rFonts w:hint="eastAsia" w:eastAsia="楷体_GB2312" w:cs="楷体_GB2312"/>
          <w:b/>
          <w:bCs/>
          <w:kern w:val="0"/>
          <w:sz w:val="32"/>
          <w:szCs w:val="32"/>
          <w:shd w:val="clear" w:color="auto" w:fill="FFFFFF"/>
          <w:lang w:val="zh-CN"/>
        </w:rPr>
        <w:t>。</w:t>
      </w:r>
      <w:r>
        <w:rPr>
          <w:rFonts w:hint="eastAsia" w:ascii="Times New Roman" w:hAnsi="Times New Roman" w:eastAsia="仿宋_GB2312"/>
          <w:color w:val="auto"/>
          <w:sz w:val="32"/>
          <w:szCs w:val="32"/>
          <w:lang w:eastAsia="zh-CN"/>
        </w:rPr>
        <w:t>市农林科学院</w:t>
      </w:r>
      <w:r>
        <w:rPr>
          <w:rFonts w:hint="eastAsia" w:ascii="Times New Roman" w:hAnsi="Times New Roman" w:eastAsia="仿宋" w:cs="仿宋"/>
          <w:sz w:val="32"/>
          <w:szCs w:val="32"/>
        </w:rPr>
        <w:t>围绕我市地方经济发展，承担农业、林业、水利等方面科学技术研究及技术推广应用工作。</w:t>
      </w:r>
      <w:r>
        <w:rPr>
          <w:rFonts w:hint="eastAsia" w:ascii="Times New Roman" w:hAnsi="Times New Roman" w:eastAsia="仿宋_GB2312"/>
          <w:color w:val="auto"/>
          <w:sz w:val="32"/>
          <w:szCs w:val="32"/>
          <w:lang w:val="zh-CN" w:eastAsia="zh-CN"/>
        </w:rPr>
        <w:t>2022年年末一般公共预算财政拨款非参公事业人员119人（含编制内聘用人员1人），离休</w:t>
      </w:r>
      <w:r>
        <w:rPr>
          <w:rFonts w:hint="eastAsia" w:ascii="Times New Roman" w:hAnsi="Times New Roman" w:eastAsia="仿宋_GB2312"/>
          <w:color w:val="auto"/>
          <w:sz w:val="32"/>
          <w:szCs w:val="32"/>
          <w:lang w:val="en-US" w:eastAsia="zh-CN"/>
        </w:rPr>
        <w:t>干部</w:t>
      </w:r>
      <w:r>
        <w:rPr>
          <w:rFonts w:hint="eastAsia" w:ascii="Times New Roman" w:hAnsi="Times New Roman" w:eastAsia="仿宋_GB2312"/>
          <w:color w:val="auto"/>
          <w:sz w:val="32"/>
          <w:szCs w:val="32"/>
          <w:lang w:val="zh-CN" w:eastAsia="zh-CN"/>
        </w:rPr>
        <w:t>1人。当年新招考录用4人、辞职1人，退休3人。</w:t>
      </w:r>
    </w:p>
    <w:p>
      <w:pPr>
        <w:keepNext w:val="0"/>
        <w:keepLines w:val="0"/>
        <w:pageBreakBefore w:val="0"/>
        <w:widowControl/>
        <w:numPr>
          <w:ilvl w:val="0"/>
          <w:numId w:val="7"/>
        </w:numPr>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hint="eastAsia" w:ascii="Times New Roman" w:hAnsi="Times New Roman" w:eastAsia="仿宋_GB2312"/>
          <w:color w:val="auto"/>
          <w:sz w:val="32"/>
          <w:szCs w:val="32"/>
        </w:rPr>
      </w:pPr>
      <w:r>
        <w:rPr>
          <w:rFonts w:hint="eastAsia" w:ascii="Times New Roman" w:hAnsi="Times New Roman" w:eastAsia="楷体_GB2312" w:cs="楷体_GB2312"/>
          <w:b/>
          <w:bCs/>
          <w:kern w:val="0"/>
          <w:sz w:val="32"/>
          <w:szCs w:val="32"/>
          <w:shd w:val="clear" w:color="auto" w:fill="FFFFFF"/>
          <w:lang w:val="zh-CN"/>
        </w:rPr>
        <w:t>年度主要工作任务</w:t>
      </w:r>
      <w:r>
        <w:rPr>
          <w:rFonts w:hint="eastAsia" w:eastAsia="楷体_GB2312" w:cs="楷体_GB2312"/>
          <w:b/>
          <w:bCs/>
          <w:kern w:val="0"/>
          <w:sz w:val="32"/>
          <w:szCs w:val="32"/>
          <w:shd w:val="clear" w:color="auto" w:fill="FFFFFF"/>
          <w:lang w:val="zh-CN"/>
        </w:rPr>
        <w:t>。</w:t>
      </w:r>
      <w:r>
        <w:rPr>
          <w:rFonts w:hint="eastAsia" w:ascii="Times New Roman" w:hAnsi="Times New Roman" w:eastAsia="仿宋_GB2312"/>
          <w:color w:val="auto"/>
          <w:sz w:val="32"/>
          <w:szCs w:val="32"/>
          <w:lang w:eastAsia="zh-CN"/>
        </w:rPr>
        <w:t>市农林科学院</w:t>
      </w:r>
      <w:r>
        <w:rPr>
          <w:rFonts w:hint="eastAsia" w:eastAsia="仿宋_GB2312"/>
          <w:color w:val="auto"/>
          <w:sz w:val="32"/>
          <w:szCs w:val="32"/>
          <w:lang w:val="en-US" w:eastAsia="zh-CN"/>
        </w:rPr>
        <w:t>2022年主要工作任务：</w:t>
      </w:r>
      <w:r>
        <w:rPr>
          <w:rFonts w:hint="eastAsia" w:ascii="Times New Roman" w:hAnsi="Times New Roman" w:eastAsia="仿宋_GB2312"/>
          <w:color w:val="auto"/>
          <w:sz w:val="32"/>
          <w:szCs w:val="32"/>
          <w:lang w:val="zh-CN" w:eastAsia="zh-CN"/>
        </w:rPr>
        <w:t>开展科研项目80项以上，其中，新上项目10项以上，完成科研项目15项，申报成果奖励3项以上；新品种、新技术示范推广面积4万亩以上；做好专家示范基地、福田模式复制推广和科技培训、技术指导等科技服务工作，培训农村实用人才6300人次。</w:t>
      </w:r>
    </w:p>
    <w:p>
      <w:pPr>
        <w:keepNext w:val="0"/>
        <w:keepLines w:val="0"/>
        <w:pageBreakBefore w:val="0"/>
        <w:widowControl/>
        <w:numPr>
          <w:ilvl w:val="0"/>
          <w:numId w:val="7"/>
        </w:numPr>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hint="eastAsia"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color w:val="auto"/>
          <w:kern w:val="0"/>
          <w:sz w:val="32"/>
          <w:szCs w:val="32"/>
          <w:shd w:val="clear" w:color="auto" w:fill="FFFFFF"/>
          <w:lang w:val="zh-CN"/>
        </w:rPr>
        <w:t>部门整体支出绩效目标</w:t>
      </w:r>
      <w:r>
        <w:rPr>
          <w:rFonts w:hint="eastAsia" w:eastAsia="楷体_GB2312" w:cs="楷体_GB2312"/>
          <w:b/>
          <w:bCs/>
          <w:color w:val="auto"/>
          <w:kern w:val="0"/>
          <w:sz w:val="32"/>
          <w:szCs w:val="32"/>
          <w:shd w:val="clear" w:color="auto" w:fill="FFFFFF"/>
          <w:lang w:val="zh-CN"/>
        </w:rPr>
        <w:t>。</w:t>
      </w:r>
      <w:r>
        <w:rPr>
          <w:rFonts w:hint="eastAsia" w:ascii="Times New Roman" w:hAnsi="Times New Roman" w:eastAsia="仿宋_GB2312"/>
          <w:color w:val="auto"/>
          <w:sz w:val="32"/>
          <w:szCs w:val="32"/>
          <w:lang w:eastAsia="zh-CN"/>
        </w:rPr>
        <w:t>市农林科学院</w:t>
      </w:r>
      <w:r>
        <w:rPr>
          <w:rFonts w:hint="eastAsia" w:eastAsia="仿宋_GB2312"/>
          <w:color w:val="auto"/>
          <w:sz w:val="32"/>
          <w:szCs w:val="32"/>
          <w:lang w:val="en-US" w:eastAsia="zh-CN"/>
        </w:rPr>
        <w:t>2022年</w:t>
      </w:r>
      <w:r>
        <w:rPr>
          <w:rFonts w:hint="eastAsia" w:ascii="Times New Roman" w:hAnsi="Times New Roman" w:eastAsia="仿宋_GB2312"/>
          <w:color w:val="auto"/>
          <w:sz w:val="32"/>
          <w:szCs w:val="32"/>
          <w:lang w:val="zh-CN" w:eastAsia="zh-CN"/>
        </w:rPr>
        <w:t>部门整体支出绩效目标</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zh-CN" w:eastAsia="zh-CN"/>
        </w:rPr>
        <w:t>开展科研项目80项以上，其中，新上项目10项以上，完成科研项目15项，申报成果奖励3项以上；新品种、新技术示范推广面积4万亩以上；做好专家示范基地、福田模式复制推广和科技培训、技术指导等科技服务工作，培训农村实用人才6300人次。</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rPr>
        <w:t>二、部门资金收支情况</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（一）部门总体收支情况。</w:t>
      </w:r>
    </w:p>
    <w:p>
      <w:pPr>
        <w:pStyle w:val="30"/>
        <w:keepNext w:val="0"/>
        <w:keepLines w:val="0"/>
        <w:pageBreakBefore w:val="0"/>
        <w:kinsoku/>
        <w:wordWrap/>
        <w:overflowPunct/>
        <w:topLinePunct w:val="0"/>
        <w:bidi w:val="0"/>
        <w:adjustRightInd w:val="0"/>
        <w:snapToGrid w:val="0"/>
        <w:spacing w:line="305" w:lineRule="auto"/>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1.部门总体收入情况</w:t>
      </w:r>
    </w:p>
    <w:p>
      <w:pPr>
        <w:pStyle w:val="30"/>
        <w:keepNext w:val="0"/>
        <w:keepLines w:val="0"/>
        <w:pageBreakBefore w:val="0"/>
        <w:kinsoku/>
        <w:wordWrap/>
        <w:overflowPunct/>
        <w:topLinePunct w:val="0"/>
        <w:bidi w:val="0"/>
        <w:adjustRightInd w:val="0"/>
        <w:snapToGrid w:val="0"/>
        <w:spacing w:line="305" w:lineRule="auto"/>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2022年预算收入3619.93万元（其中一般公共预算财政拨款3619.93万元）；其他收入支出156.13万元；上年结转结余77.07万元；收入总计3853.13万元。</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2.部门总体支出情况</w:t>
      </w:r>
    </w:p>
    <w:p>
      <w:pPr>
        <w:pStyle w:val="30"/>
        <w:keepNext w:val="0"/>
        <w:keepLines w:val="0"/>
        <w:pageBreakBefore w:val="0"/>
        <w:kinsoku/>
        <w:wordWrap/>
        <w:overflowPunct/>
        <w:topLinePunct w:val="0"/>
        <w:bidi w:val="0"/>
        <w:adjustRightInd w:val="0"/>
        <w:snapToGrid w:val="0"/>
        <w:spacing w:line="305" w:lineRule="auto"/>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2022年支出合计3853.13万元，其中：基本支出2873.47万元，占74.57%；项目支出979.66万元，占25.43%；上缴上级支出0万元，占0%；经营支出0万元，占0%；对附属单位补助支出0万元，占0%。</w:t>
      </w:r>
    </w:p>
    <w:p>
      <w:pPr>
        <w:keepNext w:val="0"/>
        <w:keepLines w:val="0"/>
        <w:pageBreakBefore w:val="0"/>
        <w:widowControl/>
        <w:numPr>
          <w:ilvl w:val="0"/>
          <w:numId w:val="0"/>
        </w:numPr>
        <w:kinsoku/>
        <w:wordWrap/>
        <w:overflowPunct/>
        <w:topLinePunct w:val="0"/>
        <w:autoSpaceDE/>
        <w:autoSpaceDN/>
        <w:bidi w:val="0"/>
        <w:adjustRightInd w:val="0"/>
        <w:snapToGrid w:val="0"/>
        <w:spacing w:line="305" w:lineRule="auto"/>
        <w:ind w:leftChars="0" w:firstLine="640" w:firstLineChars="200"/>
        <w:contextualSpacing/>
        <w:jc w:val="left"/>
        <w:textAlignment w:val="auto"/>
        <w:rPr>
          <w:rFonts w:hint="default" w:ascii="Times New Roman" w:hAnsi="Times New Roman" w:eastAsia="仿宋_GB2312" w:cs="仿宋_GB2312"/>
          <w:color w:val="auto"/>
          <w:kern w:val="0"/>
          <w:sz w:val="32"/>
          <w:szCs w:val="32"/>
          <w:shd w:val="clear" w:color="auto" w:fill="FFFFFF"/>
          <w:lang w:val="en-US" w:eastAsia="zh-CN"/>
        </w:rPr>
      </w:pPr>
      <w:r>
        <w:rPr>
          <w:rFonts w:hint="eastAsia" w:ascii="Times New Roman" w:hAnsi="Times New Roman" w:eastAsia="仿宋_GB2312" w:cs="仿宋_GB2312"/>
          <w:color w:val="auto"/>
          <w:kern w:val="0"/>
          <w:sz w:val="32"/>
          <w:szCs w:val="32"/>
          <w:shd w:val="clear" w:color="auto" w:fill="FFFFFF"/>
          <w:lang w:val="en-US" w:eastAsia="zh-CN"/>
        </w:rPr>
        <w:t>2.</w:t>
      </w:r>
      <w:r>
        <w:rPr>
          <w:rFonts w:hint="eastAsia" w:ascii="Times New Roman" w:hAnsi="Times New Roman" w:eastAsia="仿宋_GB2312" w:cs="仿宋_GB2312"/>
          <w:color w:val="auto"/>
          <w:kern w:val="0"/>
          <w:sz w:val="32"/>
          <w:szCs w:val="32"/>
          <w:shd w:val="clear" w:color="auto" w:fill="FFFFFF"/>
        </w:rPr>
        <w:t>部门总体结转结余情况</w:t>
      </w:r>
      <w:r>
        <w:rPr>
          <w:rFonts w:hint="eastAsia" w:eastAsia="仿宋_GB2312" w:cs="仿宋_GB2312"/>
          <w:color w:val="auto"/>
          <w:kern w:val="0"/>
          <w:sz w:val="32"/>
          <w:szCs w:val="32"/>
          <w:shd w:val="clear" w:color="auto" w:fill="FFFFFF"/>
          <w:lang w:val="en-US" w:eastAsia="zh-CN"/>
        </w:rPr>
        <w:t xml:space="preserve">       </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textAlignment w:val="auto"/>
        <w:rPr>
          <w:rFonts w:ascii="Times New Roman" w:hAnsi="Times New Roman"/>
          <w:color w:val="auto"/>
        </w:rPr>
      </w:pPr>
      <w:r>
        <w:rPr>
          <w:rFonts w:hint="eastAsia" w:ascii="Times New Roman" w:hAnsi="Times New Roman" w:eastAsia="仿宋_GB2312" w:cs="仿宋_GB2312"/>
          <w:color w:val="auto"/>
          <w:kern w:val="0"/>
          <w:sz w:val="32"/>
          <w:szCs w:val="32"/>
          <w:shd w:val="clear" w:color="auto" w:fill="FFFFFF"/>
          <w:lang w:val="en-US" w:eastAsia="zh-CN"/>
        </w:rPr>
        <w:t xml:space="preserve"> 无结余</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1.部门财政拨款收入情况</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本年预算收入3619.93万元（其中一般公共预算财政拨款3619.93万元）。</w:t>
      </w:r>
    </w:p>
    <w:p>
      <w:pPr>
        <w:keepNext w:val="0"/>
        <w:keepLines w:val="0"/>
        <w:pageBreakBefore w:val="0"/>
        <w:widowControl/>
        <w:numPr>
          <w:ilvl w:val="0"/>
          <w:numId w:val="0"/>
        </w:numPr>
        <w:kinsoku/>
        <w:wordWrap/>
        <w:overflowPunct/>
        <w:topLinePunct w:val="0"/>
        <w:autoSpaceDE/>
        <w:autoSpaceDN/>
        <w:bidi w:val="0"/>
        <w:adjustRightInd w:val="0"/>
        <w:snapToGrid w:val="0"/>
        <w:spacing w:line="305" w:lineRule="auto"/>
        <w:ind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rPr>
        <w:t>部门财政拨款支出情况</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本年支出3697万元，其中：上年结转结余452.03万元，本年预算支出3244.97万元。</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本年基本支出2873.47万元，其中2130104事业运行支出2136.5万元（含工资福利支出1934.56万元，商品和服务支出201.94万元）。2080505机关事业单位基本养老保险缴费支出186.44万元，2080801死亡抚恤支出20.28万元，2080502事业单位离退休支出331.43万元，2210201住房公积金198.82万元，年末无结余。</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line="305" w:lineRule="auto"/>
        <w:ind w:left="0" w:leftChars="0"/>
        <w:textAlignment w:val="auto"/>
        <w:rPr>
          <w:rFonts w:hint="eastAsia" w:ascii="Times New Roman" w:hAnsi="Times New Roman" w:eastAsia="仿宋_GB2312" w:cs="仿宋_GB2312"/>
          <w:kern w:val="0"/>
          <w:sz w:val="32"/>
          <w:szCs w:val="32"/>
          <w:shd w:val="clear" w:color="auto" w:fill="FFFFFF"/>
          <w:lang w:val="en-US" w:eastAsia="zh-CN" w:bidi="ar-SA"/>
        </w:rPr>
      </w:pPr>
      <w:r>
        <w:rPr>
          <w:rFonts w:hint="eastAsia" w:ascii="Times New Roman" w:hAnsi="Times New Roman" w:eastAsia="仿宋_GB2312" w:cs="仿宋_GB2312"/>
          <w:kern w:val="0"/>
          <w:sz w:val="32"/>
          <w:szCs w:val="32"/>
          <w:shd w:val="clear" w:color="auto" w:fill="FFFFFF"/>
          <w:lang w:val="en-US" w:eastAsia="zh-CN" w:bidi="ar-SA"/>
        </w:rPr>
        <w:t>本年项目支出823.53万元。</w:t>
      </w:r>
    </w:p>
    <w:p>
      <w:pPr>
        <w:keepNext w:val="0"/>
        <w:keepLines w:val="0"/>
        <w:pageBreakBefore w:val="0"/>
        <w:widowControl/>
        <w:numPr>
          <w:ilvl w:val="0"/>
          <w:numId w:val="0"/>
        </w:numPr>
        <w:kinsoku/>
        <w:wordWrap/>
        <w:overflowPunct/>
        <w:topLinePunct w:val="0"/>
        <w:autoSpaceDE/>
        <w:autoSpaceDN/>
        <w:bidi w:val="0"/>
        <w:adjustRightInd w:val="0"/>
        <w:snapToGrid w:val="0"/>
        <w:spacing w:line="305" w:lineRule="auto"/>
        <w:ind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rPr>
        <w:t>部门财政拨款结转结余情况</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line="305" w:lineRule="auto"/>
        <w:ind w:left="0" w:leftChars="0" w:firstLine="640" w:firstLineChars="200"/>
        <w:textAlignment w:val="auto"/>
        <w:rPr>
          <w:rFonts w:hint="default" w:ascii="Times New Roman" w:hAnsi="Times New Roman" w:eastAsia="仿宋_GB2312"/>
          <w:lang w:val="en-US" w:eastAsia="zh-CN"/>
        </w:rPr>
      </w:pPr>
      <w:r>
        <w:rPr>
          <w:rFonts w:hint="eastAsia" w:ascii="Times New Roman" w:hAnsi="Times New Roman" w:eastAsia="仿宋_GB2312" w:cs="仿宋_GB2312"/>
          <w:kern w:val="0"/>
          <w:sz w:val="32"/>
          <w:szCs w:val="32"/>
          <w:shd w:val="clear" w:color="auto" w:fill="FFFFFF"/>
          <w:lang w:val="en-US" w:eastAsia="zh-CN" w:bidi="ar-SA"/>
        </w:rPr>
        <w:t>无结余</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rPr>
        <w:t>三、部门整体绩效分析</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ascii="Times New Roman" w:hAnsi="Times New Roman" w:eastAsia="仿宋_GB2312" w:cs="仿宋_GB2312"/>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（一）部门预算项目绩效分析。</w:t>
      </w:r>
    </w:p>
    <w:p>
      <w:pPr>
        <w:pStyle w:val="11"/>
        <w:keepNext w:val="0"/>
        <w:keepLines w:val="0"/>
        <w:pageBreakBefore w:val="0"/>
        <w:kinsoku/>
        <w:wordWrap/>
        <w:overflowPunct/>
        <w:topLinePunct w:val="0"/>
        <w:autoSpaceDE/>
        <w:autoSpaceDN/>
        <w:bidi w:val="0"/>
        <w:adjustRightInd w:val="0"/>
        <w:snapToGrid w:val="0"/>
        <w:spacing w:line="305" w:lineRule="auto"/>
        <w:ind w:leftChars="0" w:firstLine="640" w:firstLineChars="200"/>
        <w:textAlignment w:val="auto"/>
        <w:rPr>
          <w:rFonts w:hint="default" w:ascii="Times New Roman" w:hAnsi="Times New Roman" w:eastAsia="仿宋_GB2312" w:cs="仿宋_GB2312"/>
          <w:color w:val="auto"/>
          <w:kern w:val="0"/>
          <w:sz w:val="32"/>
          <w:szCs w:val="32"/>
          <w:shd w:val="clear" w:color="auto" w:fill="FFFFFF"/>
          <w:lang w:val="en-US" w:eastAsia="zh-CN"/>
        </w:rPr>
      </w:pPr>
      <w:r>
        <w:rPr>
          <w:rFonts w:hint="eastAsia" w:ascii="Times New Roman" w:hAnsi="Times New Roman" w:eastAsia="仿宋_GB2312" w:cs="仿宋_GB2312"/>
          <w:color w:val="auto"/>
          <w:kern w:val="0"/>
          <w:sz w:val="32"/>
          <w:szCs w:val="32"/>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color w:val="auto"/>
          <w:kern w:val="0"/>
          <w:sz w:val="32"/>
          <w:szCs w:val="32"/>
          <w:shd w:val="clear" w:color="auto" w:fill="FFFFFF"/>
          <w:lang w:val="en-US" w:eastAsia="zh-CN"/>
        </w:rPr>
        <w:t>（1）</w:t>
      </w:r>
      <w:r>
        <w:rPr>
          <w:rFonts w:hint="eastAsia" w:ascii="Times New Roman" w:hAnsi="Times New Roman" w:eastAsia="仿宋_GB2312" w:cs="仿宋_GB2312"/>
          <w:kern w:val="0"/>
          <w:sz w:val="32"/>
          <w:szCs w:val="32"/>
          <w:shd w:val="clear" w:color="auto" w:fill="FFFFFF"/>
          <w:lang w:val="zh-CN"/>
        </w:rPr>
        <w:t>部门绩效目标制定。</w:t>
      </w:r>
      <w:r>
        <w:rPr>
          <w:rFonts w:hint="eastAsia" w:ascii="Times New Roman" w:hAnsi="Times New Roman" w:eastAsia="仿宋_GB2312" w:cs="仿宋_GB2312"/>
          <w:kern w:val="0"/>
          <w:sz w:val="32"/>
          <w:szCs w:val="32"/>
          <w:shd w:val="clear" w:color="auto" w:fill="FFFFFF"/>
          <w:lang w:val="zh-CN" w:eastAsia="zh-CN"/>
        </w:rPr>
        <w:t>市农林科学院编制的</w:t>
      </w:r>
      <w:r>
        <w:rPr>
          <w:rFonts w:hint="eastAsia" w:ascii="Times New Roman" w:hAnsi="Times New Roman" w:eastAsia="仿宋_GB2312" w:cs="仿宋_GB2312"/>
          <w:kern w:val="0"/>
          <w:sz w:val="32"/>
          <w:szCs w:val="32"/>
          <w:shd w:val="clear" w:color="auto" w:fill="FFFFFF"/>
          <w:lang w:val="en-US" w:eastAsia="zh-CN"/>
        </w:rPr>
        <w:t>人员类</w:t>
      </w:r>
      <w:r>
        <w:rPr>
          <w:rFonts w:hint="eastAsia" w:ascii="Times New Roman" w:hAnsi="Times New Roman" w:eastAsia="仿宋_GB2312" w:cs="仿宋_GB2312"/>
          <w:kern w:val="0"/>
          <w:sz w:val="32"/>
          <w:szCs w:val="32"/>
          <w:shd w:val="clear" w:color="auto" w:fill="FFFFFF"/>
          <w:lang w:val="zh-CN" w:eastAsia="zh-CN"/>
        </w:rPr>
        <w:t>绩效目标表要素完整、细化量化并集体决策。</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zh-CN" w:eastAsia="zh-CN"/>
        </w:rPr>
        <w:t>根据</w:t>
      </w:r>
      <w:r>
        <w:rPr>
          <w:rFonts w:hint="eastAsia" w:ascii="Times New Roman" w:hAnsi="Times New Roman" w:eastAsia="仿宋_GB2312" w:cs="仿宋_GB2312"/>
          <w:kern w:val="0"/>
          <w:sz w:val="32"/>
          <w:szCs w:val="32"/>
          <w:shd w:val="clear" w:color="auto" w:fill="FFFFFF"/>
        </w:rPr>
        <w:t>2022年度</w:t>
      </w:r>
      <w:r>
        <w:rPr>
          <w:rFonts w:hint="eastAsia" w:ascii="Times New Roman" w:hAnsi="Times New Roman" w:eastAsia="仿宋_GB2312" w:cs="仿宋_GB2312"/>
          <w:kern w:val="0"/>
          <w:sz w:val="32"/>
          <w:szCs w:val="32"/>
          <w:shd w:val="clear" w:color="auto" w:fill="FFFFFF"/>
          <w:lang w:val="zh-CN" w:eastAsia="zh-CN"/>
        </w:rPr>
        <w:t>年初预算制定</w:t>
      </w:r>
      <w:r>
        <w:rPr>
          <w:rFonts w:hint="eastAsia" w:ascii="Times New Roman" w:hAnsi="Times New Roman" w:eastAsia="仿宋_GB2312" w:cs="仿宋_GB2312"/>
          <w:kern w:val="0"/>
          <w:sz w:val="32"/>
          <w:szCs w:val="32"/>
          <w:shd w:val="clear" w:color="auto" w:fill="FFFFFF"/>
        </w:rPr>
        <w:t>2022</w:t>
      </w:r>
      <w:r>
        <w:rPr>
          <w:rFonts w:hint="eastAsia" w:ascii="Times New Roman" w:hAnsi="Times New Roman" w:eastAsia="仿宋_GB2312" w:cs="仿宋_GB2312"/>
          <w:kern w:val="0"/>
          <w:sz w:val="32"/>
          <w:szCs w:val="32"/>
          <w:shd w:val="clear" w:color="auto" w:fill="FFFFFF"/>
          <w:lang w:val="zh-CN" w:eastAsia="zh-CN"/>
        </w:rPr>
        <w:t>年度总体目标：</w:t>
      </w:r>
      <w:r>
        <w:rPr>
          <w:rFonts w:hint="eastAsia" w:eastAsia="仿宋_GB2312" w:cs="仿宋_GB2312"/>
          <w:kern w:val="0"/>
          <w:sz w:val="32"/>
          <w:szCs w:val="32"/>
          <w:shd w:val="clear" w:color="auto" w:fill="FFFFFF"/>
          <w:lang w:eastAsia="zh-CN"/>
        </w:rPr>
        <w:t>保障全院</w:t>
      </w:r>
      <w:r>
        <w:rPr>
          <w:rFonts w:hint="eastAsia" w:ascii="Times New Roman" w:hAnsi="Times New Roman" w:eastAsia="仿宋_GB2312" w:cs="仿宋_GB2312"/>
          <w:kern w:val="0"/>
          <w:sz w:val="32"/>
          <w:szCs w:val="32"/>
          <w:shd w:val="clear" w:color="auto" w:fill="FFFFFF"/>
        </w:rPr>
        <w:t>非参公事业人员119人（含编制内聘用人员1人），离休</w:t>
      </w:r>
      <w:r>
        <w:rPr>
          <w:rFonts w:hint="eastAsia" w:ascii="Times New Roman" w:hAnsi="Times New Roman" w:eastAsia="仿宋_GB2312" w:cs="仿宋_GB2312"/>
          <w:kern w:val="0"/>
          <w:sz w:val="32"/>
          <w:szCs w:val="32"/>
          <w:shd w:val="clear" w:color="auto" w:fill="FFFFFF"/>
          <w:lang w:val="en-US" w:eastAsia="zh-CN"/>
        </w:rPr>
        <w:t>干部</w:t>
      </w:r>
      <w:r>
        <w:rPr>
          <w:rFonts w:hint="eastAsia" w:ascii="Times New Roman" w:hAnsi="Times New Roman" w:eastAsia="仿宋_GB2312" w:cs="仿宋_GB2312"/>
          <w:kern w:val="0"/>
          <w:sz w:val="32"/>
          <w:szCs w:val="32"/>
          <w:shd w:val="clear" w:color="auto" w:fill="FFFFFF"/>
        </w:rPr>
        <w:t>1人</w:t>
      </w:r>
      <w:r>
        <w:rPr>
          <w:rFonts w:hint="eastAsia" w:eastAsia="仿宋_GB2312" w:cs="仿宋_GB2312"/>
          <w:kern w:val="0"/>
          <w:sz w:val="32"/>
          <w:szCs w:val="32"/>
          <w:shd w:val="clear" w:color="auto" w:fill="FFFFFF"/>
          <w:lang w:eastAsia="zh-CN"/>
        </w:rPr>
        <w:t>工资待遇及时、足额发放</w:t>
      </w:r>
      <w:r>
        <w:rPr>
          <w:rFonts w:hint="eastAsia" w:ascii="Times New Roman" w:hAnsi="Times New Roman" w:eastAsia="仿宋_GB2312" w:cs="仿宋_GB2312"/>
          <w:kern w:val="0"/>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lang w:val="zh-CN"/>
        </w:rPr>
        <w:t>目标实现。2022年非参公事业人员119人（含编制内聘用人员1人），离休</w:t>
      </w:r>
      <w:r>
        <w:rPr>
          <w:rFonts w:hint="eastAsia" w:ascii="Times New Roman" w:hAnsi="Times New Roman" w:eastAsia="仿宋_GB2312" w:cs="仿宋_GB2312"/>
          <w:kern w:val="0"/>
          <w:sz w:val="32"/>
          <w:szCs w:val="32"/>
          <w:shd w:val="clear" w:color="auto" w:fill="FFFFFF"/>
          <w:lang w:val="en-US" w:eastAsia="zh-CN"/>
        </w:rPr>
        <w:t>干部</w:t>
      </w:r>
      <w:r>
        <w:rPr>
          <w:rFonts w:hint="eastAsia" w:ascii="Times New Roman" w:hAnsi="Times New Roman" w:eastAsia="仿宋_GB2312" w:cs="仿宋_GB2312"/>
          <w:kern w:val="0"/>
          <w:sz w:val="32"/>
          <w:szCs w:val="32"/>
          <w:shd w:val="clear" w:color="auto" w:fill="FFFFFF"/>
          <w:lang w:val="zh-CN"/>
        </w:rPr>
        <w:t>1人</w:t>
      </w:r>
      <w:r>
        <w:rPr>
          <w:rFonts w:hint="eastAsia" w:eastAsia="仿宋_GB2312" w:cs="仿宋_GB2312"/>
          <w:kern w:val="0"/>
          <w:sz w:val="32"/>
          <w:szCs w:val="32"/>
          <w:shd w:val="clear" w:color="auto" w:fill="FFFFFF"/>
          <w:lang w:val="zh-CN"/>
        </w:rPr>
        <w:t>；</w:t>
      </w:r>
      <w:r>
        <w:rPr>
          <w:rFonts w:hint="eastAsia" w:ascii="Times New Roman" w:hAnsi="Times New Roman" w:eastAsia="仿宋_GB2312" w:cs="仿宋_GB2312"/>
          <w:kern w:val="0"/>
          <w:sz w:val="32"/>
          <w:szCs w:val="32"/>
          <w:shd w:val="clear" w:color="auto" w:fill="FFFFFF"/>
          <w:lang w:val="zh-CN"/>
        </w:rPr>
        <w:t>新招考录用4人、辞职1人，退休3人</w:t>
      </w:r>
      <w:r>
        <w:rPr>
          <w:rFonts w:hint="eastAsia" w:ascii="Times New Roman" w:hAnsi="Times New Roman" w:eastAsia="仿宋_GB2312" w:cs="仿宋_GB2312"/>
          <w:kern w:val="0"/>
          <w:sz w:val="32"/>
          <w:szCs w:val="32"/>
          <w:shd w:val="clear" w:color="auto" w:fill="FFFFFF"/>
          <w:lang w:val="zh-CN" w:eastAsia="zh-CN"/>
        </w:rPr>
        <w:t>，</w:t>
      </w:r>
      <w:r>
        <w:rPr>
          <w:rFonts w:hint="eastAsia" w:eastAsia="仿宋_GB2312" w:cs="仿宋_GB2312"/>
          <w:kern w:val="0"/>
          <w:sz w:val="32"/>
          <w:szCs w:val="32"/>
          <w:shd w:val="clear" w:color="auto" w:fill="FFFFFF"/>
          <w:lang w:val="zh-CN" w:eastAsia="zh-CN"/>
        </w:rPr>
        <w:t>按时、足额发放</w:t>
      </w:r>
      <w:r>
        <w:rPr>
          <w:rFonts w:hint="eastAsia" w:ascii="Times New Roman" w:hAnsi="Times New Roman" w:eastAsia="仿宋_GB2312" w:cs="仿宋_GB2312"/>
          <w:kern w:val="0"/>
          <w:sz w:val="32"/>
          <w:szCs w:val="32"/>
          <w:shd w:val="clear" w:color="auto" w:fill="FFFFFF"/>
          <w:lang w:val="en-US" w:eastAsia="zh-CN"/>
        </w:rPr>
        <w:t>工资</w:t>
      </w:r>
      <w:r>
        <w:rPr>
          <w:rFonts w:hint="eastAsia" w:eastAsia="仿宋_GB2312" w:cs="仿宋_GB2312"/>
          <w:kern w:val="0"/>
          <w:sz w:val="32"/>
          <w:szCs w:val="32"/>
          <w:shd w:val="clear" w:color="auto" w:fill="FFFFFF"/>
          <w:lang w:val="en-US" w:eastAsia="zh-CN"/>
        </w:rPr>
        <w:t>福利及对个人和家庭的补助。</w:t>
      </w:r>
      <w:r>
        <w:rPr>
          <w:rFonts w:hint="eastAsia" w:ascii="Times New Roman" w:hAnsi="Times New Roman" w:eastAsia="仿宋_GB2312" w:cs="仿宋_GB2312"/>
          <w:kern w:val="0"/>
          <w:sz w:val="32"/>
          <w:szCs w:val="32"/>
          <w:shd w:val="clear" w:color="auto" w:fill="FFFFFF"/>
          <w:lang w:val="zh-CN"/>
        </w:rPr>
        <w:t>100%实现预期绩效目标。</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zh-CN"/>
        </w:rPr>
        <w:t>（</w:t>
      </w: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lang w:val="zh-CN"/>
        </w:rPr>
        <w:t>）支出控制。严格按照相关规定使用</w:t>
      </w:r>
      <w:r>
        <w:rPr>
          <w:rFonts w:hint="eastAsia" w:ascii="Times New Roman" w:hAnsi="Times New Roman" w:eastAsia="仿宋_GB2312" w:cs="仿宋_GB2312"/>
          <w:kern w:val="0"/>
          <w:sz w:val="32"/>
          <w:szCs w:val="32"/>
          <w:shd w:val="clear" w:color="auto" w:fill="FFFFFF"/>
          <w:lang w:val="en-US" w:eastAsia="zh-CN"/>
        </w:rPr>
        <w:t>工资</w:t>
      </w:r>
      <w:r>
        <w:rPr>
          <w:rFonts w:hint="eastAsia" w:eastAsia="仿宋_GB2312" w:cs="仿宋_GB2312"/>
          <w:kern w:val="0"/>
          <w:sz w:val="32"/>
          <w:szCs w:val="32"/>
          <w:shd w:val="clear" w:color="auto" w:fill="FFFFFF"/>
          <w:lang w:val="en-US" w:eastAsia="zh-CN"/>
        </w:rPr>
        <w:t>福利支出、对个人和家庭的补助两项</w:t>
      </w:r>
      <w:r>
        <w:rPr>
          <w:rFonts w:hint="eastAsia" w:ascii="Times New Roman" w:hAnsi="Times New Roman" w:eastAsia="仿宋_GB2312" w:cs="仿宋_GB2312"/>
          <w:kern w:val="0"/>
          <w:sz w:val="32"/>
          <w:szCs w:val="32"/>
          <w:shd w:val="clear" w:color="auto" w:fill="FFFFFF"/>
          <w:lang w:val="en-US" w:eastAsia="zh-CN"/>
        </w:rPr>
        <w:t>人员经费</w:t>
      </w:r>
      <w:r>
        <w:rPr>
          <w:rFonts w:hint="eastAsia" w:ascii="Times New Roman" w:hAnsi="Times New Roman" w:eastAsia="仿宋_GB2312" w:cs="仿宋_GB2312"/>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zh-CN"/>
        </w:rPr>
        <w:t>（</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lang w:val="zh-CN"/>
        </w:rPr>
        <w:t>）及时处置。根据人员变动情况及时向财政局申请调整预算。</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zh-CN"/>
        </w:rPr>
        <w:t>（</w:t>
      </w:r>
      <w:r>
        <w:rPr>
          <w:rFonts w:hint="eastAsia" w:ascii="Times New Roman" w:hAnsi="Times New Roman" w:eastAsia="仿宋_GB2312" w:cs="仿宋_GB2312"/>
          <w:kern w:val="0"/>
          <w:sz w:val="32"/>
          <w:szCs w:val="32"/>
          <w:shd w:val="clear" w:color="auto" w:fill="FFFFFF"/>
          <w:lang w:val="en-US" w:eastAsia="zh-CN"/>
        </w:rPr>
        <w:t>5</w:t>
      </w:r>
      <w:r>
        <w:rPr>
          <w:rFonts w:hint="eastAsia" w:ascii="Times New Roman" w:hAnsi="Times New Roman" w:eastAsia="仿宋_GB2312" w:cs="仿宋_GB2312"/>
          <w:kern w:val="0"/>
          <w:sz w:val="32"/>
          <w:szCs w:val="32"/>
          <w:shd w:val="clear" w:color="auto" w:fill="FFFFFF"/>
          <w:lang w:val="zh-CN"/>
        </w:rPr>
        <w:t>）执行进度，</w:t>
      </w:r>
      <w:r>
        <w:rPr>
          <w:rFonts w:hint="eastAsia" w:ascii="Times New Roman" w:hAnsi="Times New Roman" w:eastAsia="仿宋_GB2312" w:cs="仿宋_GB2312"/>
          <w:kern w:val="0"/>
          <w:sz w:val="32"/>
          <w:szCs w:val="32"/>
          <w:shd w:val="clear" w:color="auto" w:fill="FFFFFF"/>
          <w:lang w:val="en-US" w:eastAsia="zh-CN"/>
        </w:rPr>
        <w:t>执行进度100%。</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zh-CN"/>
        </w:rPr>
        <w:t>（</w:t>
      </w:r>
      <w:r>
        <w:rPr>
          <w:rFonts w:hint="eastAsia" w:ascii="Times New Roman" w:hAnsi="Times New Roman" w:eastAsia="仿宋_GB2312" w:cs="仿宋_GB2312"/>
          <w:kern w:val="0"/>
          <w:sz w:val="32"/>
          <w:szCs w:val="32"/>
          <w:shd w:val="clear" w:color="auto" w:fill="FFFFFF"/>
          <w:lang w:val="en-US" w:eastAsia="zh-CN"/>
        </w:rPr>
        <w:t>6</w:t>
      </w:r>
      <w:r>
        <w:rPr>
          <w:rFonts w:hint="eastAsia" w:ascii="Times New Roman" w:hAnsi="Times New Roman" w:eastAsia="仿宋_GB2312" w:cs="仿宋_GB2312"/>
          <w:kern w:val="0"/>
          <w:sz w:val="32"/>
          <w:szCs w:val="32"/>
          <w:shd w:val="clear" w:color="auto" w:fill="FFFFFF"/>
          <w:lang w:val="zh-CN"/>
        </w:rPr>
        <w:t>）预算完成情况，全年预算人员经费</w:t>
      </w:r>
      <w:r>
        <w:rPr>
          <w:rFonts w:hint="eastAsia" w:ascii="Times New Roman" w:hAnsi="Times New Roman" w:eastAsia="仿宋_GB2312" w:cs="仿宋_GB2312"/>
          <w:kern w:val="0"/>
          <w:sz w:val="32"/>
          <w:szCs w:val="32"/>
          <w:shd w:val="clear" w:color="auto" w:fill="FFFFFF"/>
          <w:lang w:val="en-US" w:eastAsia="zh-CN"/>
        </w:rPr>
        <w:t>2661.41万元，</w:t>
      </w:r>
      <w:r>
        <w:rPr>
          <w:rFonts w:hint="eastAsia" w:ascii="Times New Roman" w:hAnsi="Times New Roman" w:eastAsia="仿宋_GB2312" w:cs="仿宋_GB2312"/>
          <w:kern w:val="0"/>
          <w:sz w:val="32"/>
          <w:szCs w:val="32"/>
          <w:shd w:val="clear" w:color="auto" w:fill="FFFFFF"/>
          <w:lang w:val="zh-CN"/>
        </w:rPr>
        <w:t>完成</w:t>
      </w:r>
      <w:r>
        <w:rPr>
          <w:rFonts w:hint="eastAsia" w:ascii="Times New Roman" w:hAnsi="Times New Roman" w:eastAsia="仿宋_GB2312" w:cs="仿宋_GB2312"/>
          <w:kern w:val="0"/>
          <w:sz w:val="32"/>
          <w:szCs w:val="32"/>
          <w:shd w:val="clear" w:color="auto" w:fill="FFFFFF"/>
          <w:lang w:val="en-US" w:eastAsia="zh-CN"/>
        </w:rPr>
        <w:t>2661.41万元</w:t>
      </w:r>
      <w:r>
        <w:rPr>
          <w:rFonts w:hint="eastAsia" w:ascii="Times New Roman" w:hAnsi="Times New Roman" w:eastAsia="仿宋_GB2312" w:cs="仿宋_GB2312"/>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zh-CN"/>
        </w:rPr>
        <w:t>（</w:t>
      </w:r>
      <w:r>
        <w:rPr>
          <w:rFonts w:hint="eastAsia" w:ascii="Times New Roman" w:hAnsi="Times New Roman" w:eastAsia="仿宋_GB2312" w:cs="仿宋_GB2312"/>
          <w:kern w:val="0"/>
          <w:sz w:val="32"/>
          <w:szCs w:val="32"/>
          <w:shd w:val="clear" w:color="auto" w:fill="FFFFFF"/>
          <w:lang w:val="en-US" w:eastAsia="zh-CN"/>
        </w:rPr>
        <w:t>7</w:t>
      </w:r>
      <w:r>
        <w:rPr>
          <w:rFonts w:hint="eastAsia" w:ascii="Times New Roman" w:hAnsi="Times New Roman" w:eastAsia="仿宋_GB2312" w:cs="仿宋_GB2312"/>
          <w:kern w:val="0"/>
          <w:sz w:val="32"/>
          <w:szCs w:val="32"/>
          <w:shd w:val="clear" w:color="auto" w:fill="FFFFFF"/>
          <w:lang w:val="zh-CN"/>
        </w:rPr>
        <w:t>）资金结余率</w:t>
      </w:r>
      <w:r>
        <w:rPr>
          <w:rFonts w:hint="eastAsia" w:ascii="Times New Roman" w:hAnsi="Times New Roman" w:eastAsia="仿宋_GB2312" w:cs="仿宋_GB2312"/>
          <w:kern w:val="0"/>
          <w:sz w:val="32"/>
          <w:szCs w:val="32"/>
          <w:shd w:val="clear" w:color="auto" w:fill="FFFFFF"/>
          <w:lang w:val="en-US" w:eastAsia="zh-CN"/>
        </w:rPr>
        <w:t>0%</w:t>
      </w:r>
      <w:r>
        <w:rPr>
          <w:rFonts w:hint="eastAsia" w:ascii="Times New Roman" w:hAnsi="Times New Roman" w:eastAsia="仿宋_GB2312" w:cs="仿宋_GB2312"/>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default"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zh-CN"/>
        </w:rPr>
        <w:t>（</w:t>
      </w:r>
      <w:r>
        <w:rPr>
          <w:rFonts w:hint="eastAsia" w:ascii="Times New Roman" w:hAnsi="Times New Roman" w:eastAsia="仿宋_GB2312" w:cs="仿宋_GB2312"/>
          <w:kern w:val="0"/>
          <w:sz w:val="32"/>
          <w:szCs w:val="32"/>
          <w:shd w:val="clear" w:color="auto" w:fill="FFFFFF"/>
          <w:lang w:val="en-US" w:eastAsia="zh-CN"/>
        </w:rPr>
        <w:t>8</w:t>
      </w:r>
      <w:r>
        <w:rPr>
          <w:rFonts w:hint="eastAsia" w:ascii="Times New Roman" w:hAnsi="Times New Roman" w:eastAsia="仿宋_GB2312" w:cs="仿宋_GB2312"/>
          <w:kern w:val="0"/>
          <w:sz w:val="32"/>
          <w:szCs w:val="32"/>
          <w:shd w:val="clear" w:color="auto" w:fill="FFFFFF"/>
          <w:lang w:val="zh-CN"/>
        </w:rPr>
        <w:t>）无违规记录。</w:t>
      </w:r>
      <w:r>
        <w:rPr>
          <w:rFonts w:hint="eastAsia" w:ascii="Times New Roman" w:hAnsi="Times New Roman" w:eastAsia="仿宋_GB2312" w:cs="仿宋_GB2312"/>
          <w:kern w:val="0"/>
          <w:sz w:val="32"/>
          <w:szCs w:val="32"/>
          <w:shd w:val="clear" w:color="auto" w:fill="FFFFFF"/>
          <w:lang w:val="en-US" w:eastAsia="zh-CN"/>
        </w:rPr>
        <w:t xml:space="preserve">  </w:t>
      </w:r>
    </w:p>
    <w:p>
      <w:pPr>
        <w:pStyle w:val="11"/>
        <w:keepNext w:val="0"/>
        <w:keepLines w:val="0"/>
        <w:pageBreakBefore w:val="0"/>
        <w:kinsoku/>
        <w:wordWrap/>
        <w:overflowPunct/>
        <w:topLinePunct w:val="0"/>
        <w:autoSpaceDE/>
        <w:autoSpaceDN/>
        <w:bidi w:val="0"/>
        <w:adjustRightInd w:val="0"/>
        <w:snapToGrid w:val="0"/>
        <w:spacing w:line="305" w:lineRule="auto"/>
        <w:ind w:leftChars="0" w:firstLine="640" w:firstLineChars="200"/>
        <w:textAlignment w:val="auto"/>
        <w:rPr>
          <w:rFonts w:hint="eastAsia" w:ascii="Times New Roman" w:hAnsi="Times New Roman" w:eastAsia="仿宋_GB2312" w:cs="仿宋_GB2312"/>
          <w:color w:val="auto"/>
          <w:kern w:val="0"/>
          <w:sz w:val="32"/>
          <w:szCs w:val="32"/>
          <w:shd w:val="clear" w:color="auto" w:fill="FFFFFF"/>
          <w:lang w:val="zh-CN" w:eastAsia="zh-CN"/>
        </w:rPr>
      </w:pPr>
      <w:r>
        <w:rPr>
          <w:rFonts w:hint="eastAsia" w:ascii="Times New Roman" w:hAnsi="Times New Roman" w:eastAsia="仿宋_GB2312" w:cs="仿宋_GB2312"/>
          <w:color w:val="auto"/>
          <w:kern w:val="0"/>
          <w:sz w:val="32"/>
          <w:szCs w:val="32"/>
          <w:shd w:val="clear" w:color="auto" w:fill="FFFFFF"/>
          <w:lang w:val="en-US" w:eastAsia="zh-CN"/>
        </w:rPr>
        <w:t>2.</w:t>
      </w:r>
      <w:r>
        <w:rPr>
          <w:rFonts w:hint="eastAsia" w:ascii="Times New Roman" w:hAnsi="Times New Roman" w:eastAsia="仿宋_GB2312" w:cs="仿宋_GB2312"/>
          <w:color w:val="auto"/>
          <w:kern w:val="0"/>
          <w:sz w:val="32"/>
          <w:szCs w:val="32"/>
          <w:shd w:val="clear" w:color="auto" w:fill="FFFFFF"/>
          <w:lang w:val="zh-CN" w:eastAsia="zh-CN"/>
        </w:rPr>
        <w:t>运转类项目绩效分析</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color w:val="auto"/>
          <w:kern w:val="0"/>
          <w:sz w:val="32"/>
          <w:szCs w:val="32"/>
          <w:shd w:val="clear" w:color="auto" w:fill="FFFFFF"/>
          <w:lang w:eastAsia="zh-CN"/>
        </w:rPr>
      </w:pPr>
      <w:r>
        <w:rPr>
          <w:rFonts w:hint="eastAsia" w:ascii="Times New Roman" w:hAnsi="Times New Roman" w:eastAsia="仿宋_GB2312" w:cs="仿宋_GB2312"/>
          <w:color w:val="auto"/>
          <w:kern w:val="0"/>
          <w:sz w:val="32"/>
          <w:szCs w:val="32"/>
          <w:shd w:val="clear" w:color="auto" w:fill="FFFFFF"/>
          <w:lang w:eastAsia="zh-CN"/>
        </w:rPr>
        <w:t>无运转类项目</w:t>
      </w:r>
    </w:p>
    <w:p>
      <w:pPr>
        <w:pStyle w:val="11"/>
        <w:keepNext w:val="0"/>
        <w:keepLines w:val="0"/>
        <w:pageBreakBefore w:val="0"/>
        <w:kinsoku/>
        <w:wordWrap/>
        <w:overflowPunct/>
        <w:topLinePunct w:val="0"/>
        <w:autoSpaceDE/>
        <w:autoSpaceDN/>
        <w:bidi w:val="0"/>
        <w:adjustRightInd w:val="0"/>
        <w:snapToGrid w:val="0"/>
        <w:spacing w:line="305" w:lineRule="auto"/>
        <w:ind w:leftChars="0" w:firstLine="640" w:firstLineChars="200"/>
        <w:textAlignment w:val="auto"/>
        <w:rPr>
          <w:rFonts w:hint="eastAsia" w:ascii="Times New Roman" w:hAnsi="Times New Roman" w:eastAsia="仿宋_GB2312" w:cs="仿宋_GB2312"/>
          <w:color w:val="auto"/>
          <w:kern w:val="0"/>
          <w:sz w:val="32"/>
          <w:szCs w:val="32"/>
          <w:shd w:val="clear" w:color="auto" w:fill="FFFFFF"/>
          <w:lang w:val="zh-CN" w:eastAsia="zh-CN"/>
        </w:rPr>
      </w:pPr>
      <w:r>
        <w:rPr>
          <w:rFonts w:hint="eastAsia" w:ascii="Times New Roman" w:hAnsi="Times New Roman" w:eastAsia="仿宋_GB2312" w:cs="仿宋_GB2312"/>
          <w:color w:val="auto"/>
          <w:kern w:val="0"/>
          <w:sz w:val="32"/>
          <w:szCs w:val="32"/>
          <w:shd w:val="clear" w:color="auto" w:fill="FFFFFF"/>
          <w:lang w:val="en-US" w:eastAsia="zh-CN"/>
        </w:rPr>
        <w:t>3.</w:t>
      </w:r>
      <w:r>
        <w:rPr>
          <w:rFonts w:hint="eastAsia" w:ascii="Times New Roman" w:hAnsi="Times New Roman" w:eastAsia="仿宋_GB2312" w:cs="仿宋_GB2312"/>
          <w:color w:val="auto"/>
          <w:kern w:val="0"/>
          <w:sz w:val="32"/>
          <w:szCs w:val="32"/>
          <w:shd w:val="clear" w:color="auto" w:fill="FFFFFF"/>
          <w:lang w:val="zh-CN" w:eastAsia="zh-CN"/>
        </w:rPr>
        <w:t>特定目标类项目绩效分析</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zh-CN" w:eastAsia="zh-CN"/>
        </w:rPr>
        <w:t>（</w:t>
      </w:r>
      <w:r>
        <w:rPr>
          <w:rFonts w:hint="eastAsia" w:ascii="Times New Roman" w:hAnsi="Times New Roman" w:eastAsia="仿宋_GB2312" w:cs="仿宋_GB2312"/>
          <w:kern w:val="0"/>
          <w:sz w:val="32"/>
          <w:szCs w:val="32"/>
          <w:shd w:val="clear" w:color="auto" w:fill="FFFFFF"/>
          <w:lang w:val="en-US" w:eastAsia="zh-CN"/>
        </w:rPr>
        <w:t>1</w:t>
      </w:r>
      <w:r>
        <w:rPr>
          <w:rFonts w:hint="eastAsia" w:ascii="Times New Roman" w:hAnsi="Times New Roman" w:eastAsia="仿宋_GB2312" w:cs="仿宋_GB2312"/>
          <w:kern w:val="0"/>
          <w:sz w:val="32"/>
          <w:szCs w:val="32"/>
          <w:shd w:val="clear" w:color="auto" w:fill="FFFFFF"/>
          <w:lang w:val="zh-CN" w:eastAsia="zh-CN"/>
        </w:rPr>
        <w:t>）</w:t>
      </w:r>
      <w:r>
        <w:rPr>
          <w:rFonts w:hint="eastAsia" w:ascii="Times New Roman" w:hAnsi="Times New Roman" w:eastAsia="仿宋_GB2312" w:cs="仿宋_GB2312"/>
          <w:kern w:val="0"/>
          <w:sz w:val="32"/>
          <w:szCs w:val="32"/>
          <w:shd w:val="clear" w:color="auto" w:fill="FFFFFF"/>
          <w:lang w:val="zh-CN"/>
        </w:rPr>
        <w:t>部门绩效目标制定。市农林科学院编制的项目绩效目标表要素完整、细化量化并集体决策。</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zh-CN" w:eastAsia="zh-CN"/>
        </w:rPr>
        <w:t>根据</w:t>
      </w:r>
      <w:r>
        <w:rPr>
          <w:rFonts w:hint="eastAsia" w:ascii="Times New Roman" w:hAnsi="Times New Roman" w:eastAsia="仿宋_GB2312" w:cs="仿宋_GB2312"/>
          <w:kern w:val="0"/>
          <w:sz w:val="32"/>
          <w:szCs w:val="32"/>
          <w:shd w:val="clear" w:color="auto" w:fill="FFFFFF"/>
          <w:lang w:val="zh-CN"/>
        </w:rPr>
        <w:t>2022年度</w:t>
      </w:r>
      <w:r>
        <w:rPr>
          <w:rFonts w:hint="eastAsia" w:ascii="Times New Roman" w:hAnsi="Times New Roman" w:eastAsia="仿宋_GB2312" w:cs="仿宋_GB2312"/>
          <w:kern w:val="0"/>
          <w:sz w:val="32"/>
          <w:szCs w:val="32"/>
          <w:shd w:val="clear" w:color="auto" w:fill="FFFFFF"/>
          <w:lang w:val="zh-CN" w:eastAsia="zh-CN"/>
        </w:rPr>
        <w:t>年初预算制定</w:t>
      </w:r>
      <w:r>
        <w:rPr>
          <w:rFonts w:hint="eastAsia" w:ascii="Times New Roman" w:hAnsi="Times New Roman" w:eastAsia="仿宋_GB2312" w:cs="仿宋_GB2312"/>
          <w:kern w:val="0"/>
          <w:sz w:val="32"/>
          <w:szCs w:val="32"/>
          <w:shd w:val="clear" w:color="auto" w:fill="FFFFFF"/>
          <w:lang w:val="zh-CN"/>
        </w:rPr>
        <w:t>2022</w:t>
      </w:r>
      <w:r>
        <w:rPr>
          <w:rFonts w:hint="eastAsia" w:ascii="Times New Roman" w:hAnsi="Times New Roman" w:eastAsia="仿宋_GB2312" w:cs="仿宋_GB2312"/>
          <w:kern w:val="0"/>
          <w:sz w:val="32"/>
          <w:szCs w:val="32"/>
          <w:shd w:val="clear" w:color="auto" w:fill="FFFFFF"/>
          <w:lang w:val="zh-CN" w:eastAsia="zh-CN"/>
        </w:rPr>
        <w:t>年度总体目标：开展科研项目80项以上，其中，新上项目10项以上，完成科研项目15项，申报成果奖励3项以上。新品种、新技术示范推广面积4万亩以上。做好专家示范基地、福田模式复制推广和科技培训、技术指导等科技服务工作，培训农村实用人才6300人次。</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zh-CN" w:eastAsia="zh-CN"/>
        </w:rPr>
        <w:t>通过绩效指标完成情况细化评估年度总体目标完成</w:t>
      </w:r>
      <w:r>
        <w:rPr>
          <w:rFonts w:hint="eastAsia" w:ascii="Times New Roman" w:hAnsi="Times New Roman" w:eastAsia="仿宋_GB2312" w:cs="仿宋_GB2312"/>
          <w:kern w:val="0"/>
          <w:sz w:val="32"/>
          <w:szCs w:val="32"/>
          <w:shd w:val="clear" w:color="auto" w:fill="FFFFFF"/>
          <w:lang w:val="en-US" w:eastAsia="zh-CN"/>
        </w:rPr>
        <w:t>情</w:t>
      </w:r>
      <w:r>
        <w:rPr>
          <w:rFonts w:hint="eastAsia" w:ascii="Times New Roman" w:hAnsi="Times New Roman" w:eastAsia="仿宋_GB2312" w:cs="仿宋_GB2312"/>
          <w:kern w:val="0"/>
          <w:sz w:val="32"/>
          <w:szCs w:val="32"/>
          <w:shd w:val="clear" w:color="auto" w:fill="FFFFFF"/>
          <w:lang w:val="zh-CN" w:eastAsia="zh-CN"/>
        </w:rPr>
        <w:t>况。产出指标，包括数量指标、质量指标、时效指标和成本指标；效益指标，包括经济效益、社会效益、生态效益和可持续影响；满意度指标。</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zh-CN" w:eastAsia="zh-CN"/>
        </w:rPr>
        <w:t>（</w:t>
      </w: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lang w:val="zh-CN" w:eastAsia="zh-CN"/>
        </w:rPr>
        <w:t>）部门目标实现。2022年结转上年项目11项，新上项目13项；全年整体任务完成项目15项，跨年度阶段任务完成项目3项，年底下达未实施项目6项，100%实现预期绩效目标。单个数量指标实际完成均达到预期指标且未超过预期指标30%。</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en-US" w:eastAsia="zh-CN"/>
        </w:rPr>
        <w:t>（3）部门</w:t>
      </w:r>
      <w:r>
        <w:rPr>
          <w:rFonts w:hint="eastAsia" w:ascii="Times New Roman" w:hAnsi="Times New Roman" w:eastAsia="仿宋_GB2312" w:cs="仿宋_GB2312"/>
          <w:kern w:val="0"/>
          <w:sz w:val="32"/>
          <w:szCs w:val="32"/>
          <w:shd w:val="clear" w:color="auto" w:fill="FFFFFF"/>
          <w:lang w:val="zh-CN" w:eastAsia="zh-CN"/>
        </w:rPr>
        <w:t>支出控制</w:t>
      </w:r>
      <w:r>
        <w:rPr>
          <w:rFonts w:hint="eastAsia" w:ascii="Times New Roman" w:hAnsi="Times New Roman"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lang w:val="zh-CN" w:eastAsia="zh-CN"/>
        </w:rPr>
        <w:t>严格按照各类资金管理办法使用资金，</w:t>
      </w:r>
      <w:r>
        <w:rPr>
          <w:rFonts w:hint="eastAsia" w:ascii="Times New Roman" w:hAnsi="Times New Roman" w:eastAsia="仿宋_GB2312" w:cs="仿宋_GB2312"/>
          <w:kern w:val="0"/>
          <w:sz w:val="32"/>
          <w:szCs w:val="32"/>
          <w:shd w:val="clear" w:color="auto" w:fill="FFFFFF"/>
          <w:lang w:val="en-US" w:eastAsia="zh-CN"/>
        </w:rPr>
        <w:t xml:space="preserve"> </w:t>
      </w:r>
      <w:r>
        <w:rPr>
          <w:rFonts w:hint="eastAsia" w:ascii="Times New Roman" w:hAnsi="Times New Roman" w:eastAsia="仿宋_GB2312" w:cs="仿宋_GB2312"/>
          <w:kern w:val="0"/>
          <w:sz w:val="32"/>
          <w:szCs w:val="32"/>
          <w:shd w:val="clear" w:color="auto" w:fill="FFFFFF"/>
          <w:lang w:val="zh-CN" w:eastAsia="zh-CN"/>
        </w:rPr>
        <w:t>合规安排各项费用。</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zh-CN" w:eastAsia="zh-CN"/>
        </w:rPr>
        <w:t>（</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lang w:val="zh-CN" w:eastAsia="zh-CN"/>
        </w:rPr>
        <w:t>）及时处置情况。</w:t>
      </w:r>
      <w:r>
        <w:rPr>
          <w:rFonts w:hint="eastAsia" w:ascii="Times New Roman" w:hAnsi="Times New Roman" w:eastAsia="仿宋_GB2312" w:cs="仿宋_GB2312"/>
          <w:kern w:val="0"/>
          <w:sz w:val="32"/>
          <w:szCs w:val="32"/>
          <w:shd w:val="clear" w:color="auto" w:fill="FFFFFF"/>
          <w:lang w:val="en-US" w:eastAsia="zh-CN"/>
        </w:rPr>
        <w:t>部门开展绩效监控如发现部门预算项目或专项预算项目绩效目标实现存在偏差，及时调整绩效目标并报财政部门备案。部门开展绩效监控如发现预算项目或专项预算项目不具备实施条件需调整项目、调整资金等，会开展结果运用并报财政部门备案。</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zh-CN" w:eastAsia="zh-CN"/>
        </w:rPr>
        <w:t>（</w:t>
      </w:r>
      <w:r>
        <w:rPr>
          <w:rFonts w:hint="eastAsia" w:ascii="Times New Roman" w:hAnsi="Times New Roman" w:eastAsia="仿宋_GB2312" w:cs="仿宋_GB2312"/>
          <w:kern w:val="0"/>
          <w:sz w:val="32"/>
          <w:szCs w:val="32"/>
          <w:shd w:val="clear" w:color="auto" w:fill="FFFFFF"/>
          <w:lang w:val="en-US" w:eastAsia="zh-CN"/>
        </w:rPr>
        <w:t>5</w:t>
      </w:r>
      <w:r>
        <w:rPr>
          <w:rFonts w:hint="eastAsia" w:ascii="Times New Roman" w:hAnsi="Times New Roman" w:eastAsia="仿宋_GB2312" w:cs="仿宋_GB2312"/>
          <w:kern w:val="0"/>
          <w:sz w:val="32"/>
          <w:szCs w:val="32"/>
          <w:shd w:val="clear" w:color="auto" w:fill="FFFFFF"/>
          <w:lang w:val="zh-CN" w:eastAsia="zh-CN"/>
        </w:rPr>
        <w:t>）执行进度情况。市农林科学院202</w:t>
      </w:r>
      <w:r>
        <w:rPr>
          <w:rFonts w:hint="eastAsia" w:ascii="Times New Roman" w:hAnsi="Times New Roman" w:eastAsia="仿宋_GB2312" w:cs="仿宋_GB2312"/>
          <w:kern w:val="0"/>
          <w:sz w:val="32"/>
          <w:szCs w:val="32"/>
          <w:shd w:val="clear" w:color="auto" w:fill="FFFFFF"/>
          <w:lang w:val="en-US" w:eastAsia="zh-CN"/>
        </w:rPr>
        <w:t>2年特定目标类项目到位资</w:t>
      </w:r>
      <w:r>
        <w:rPr>
          <w:rFonts w:hint="eastAsia" w:ascii="Times New Roman" w:hAnsi="Times New Roman" w:eastAsia="仿宋_GB2312" w:cs="仿宋_GB2312"/>
          <w:kern w:val="0"/>
          <w:sz w:val="32"/>
          <w:szCs w:val="32"/>
          <w:shd w:val="clear" w:color="auto" w:fill="FFFFFF"/>
          <w:lang w:val="zh-CN" w:eastAsia="zh-CN"/>
        </w:rPr>
        <w:t>金</w:t>
      </w:r>
      <w:r>
        <w:rPr>
          <w:rFonts w:hint="eastAsia" w:ascii="Times New Roman" w:hAnsi="Times New Roman" w:eastAsia="仿宋_GB2312" w:cs="仿宋_GB2312"/>
          <w:kern w:val="0"/>
          <w:sz w:val="32"/>
          <w:szCs w:val="32"/>
          <w:shd w:val="clear" w:color="auto" w:fill="FFFFFF"/>
          <w:lang w:val="en-US" w:eastAsia="zh-CN"/>
        </w:rPr>
        <w:t>979.66</w:t>
      </w:r>
      <w:r>
        <w:rPr>
          <w:rFonts w:hint="eastAsia" w:ascii="Times New Roman" w:hAnsi="Times New Roman" w:eastAsia="仿宋_GB2312" w:cs="仿宋_GB2312"/>
          <w:kern w:val="0"/>
          <w:sz w:val="32"/>
          <w:szCs w:val="32"/>
          <w:shd w:val="clear" w:color="auto" w:fill="FFFFFF"/>
          <w:lang w:val="zh-CN" w:eastAsia="zh-CN"/>
        </w:rPr>
        <w:t>万元，执行资金</w:t>
      </w:r>
      <w:r>
        <w:rPr>
          <w:rFonts w:hint="eastAsia" w:ascii="Times New Roman" w:hAnsi="Times New Roman" w:eastAsia="仿宋_GB2312" w:cs="仿宋_GB2312"/>
          <w:kern w:val="0"/>
          <w:sz w:val="32"/>
          <w:szCs w:val="32"/>
          <w:shd w:val="clear" w:color="auto" w:fill="FFFFFF"/>
          <w:lang w:val="en-US" w:eastAsia="zh-CN"/>
        </w:rPr>
        <w:t>979.66万元；执行进度100%。</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zh-CN" w:eastAsia="zh-CN"/>
        </w:rPr>
        <w:t>（</w:t>
      </w:r>
      <w:r>
        <w:rPr>
          <w:rFonts w:hint="eastAsia" w:ascii="Times New Roman" w:hAnsi="Times New Roman" w:eastAsia="仿宋_GB2312" w:cs="仿宋_GB2312"/>
          <w:kern w:val="0"/>
          <w:sz w:val="32"/>
          <w:szCs w:val="32"/>
          <w:shd w:val="clear" w:color="auto" w:fill="FFFFFF"/>
          <w:lang w:val="en-US" w:eastAsia="zh-CN"/>
        </w:rPr>
        <w:t>6</w:t>
      </w:r>
      <w:r>
        <w:rPr>
          <w:rFonts w:hint="eastAsia" w:ascii="Times New Roman" w:hAnsi="Times New Roman" w:eastAsia="仿宋_GB2312" w:cs="仿宋_GB2312"/>
          <w:kern w:val="0"/>
          <w:sz w:val="32"/>
          <w:szCs w:val="32"/>
          <w:shd w:val="clear" w:color="auto" w:fill="FFFFFF"/>
          <w:lang w:val="zh-CN" w:eastAsia="zh-CN"/>
        </w:rPr>
        <w:t>）预算完成情况。市农林科学院</w:t>
      </w:r>
      <w:r>
        <w:rPr>
          <w:rFonts w:hint="eastAsia" w:ascii="Times New Roman" w:hAnsi="Times New Roman" w:eastAsia="仿宋_GB2312" w:cs="仿宋_GB2312"/>
          <w:kern w:val="0"/>
          <w:sz w:val="32"/>
          <w:szCs w:val="32"/>
          <w:shd w:val="clear" w:color="auto" w:fill="FFFFFF"/>
          <w:lang w:val="en-US" w:eastAsia="zh-CN"/>
        </w:rPr>
        <w:t>紧密结合全市早春蔬菜、特色水果等主导产业生产需求，开展新品种选育和标准化绿色化规模化栽培关键技术研究。持续完善芒果种质资源创新中心等种质资源创新基地7个，新收集、引进种质资源456份，成功入选四川省第一批省级农业种质资源保护单位；创制育种新材料700余份，申请并受理芒果新品种权2个，2个玉米新品种通过审定，筛选出特晚熟芒果新材料3份。全年开展科研项目80项，新上项目13项，验收（结题）15项次，授权专利7项，新制定地方标准10个；2022年</w:t>
      </w:r>
      <w:r>
        <w:rPr>
          <w:rFonts w:hint="eastAsia" w:ascii="Times New Roman" w:hAnsi="Times New Roman" w:eastAsia="仿宋_GB2312" w:cs="仿宋_GB2312"/>
          <w:kern w:val="0"/>
          <w:sz w:val="32"/>
          <w:szCs w:val="32"/>
          <w:shd w:val="clear" w:color="auto" w:fill="FFFFFF"/>
          <w:lang w:val="zh-CN" w:eastAsia="zh-CN"/>
        </w:rPr>
        <w:t>申报成果奖</w:t>
      </w:r>
      <w:r>
        <w:rPr>
          <w:rFonts w:hint="eastAsia" w:ascii="Times New Roman" w:hAnsi="Times New Roman" w:eastAsia="仿宋_GB2312" w:cs="仿宋_GB2312"/>
          <w:kern w:val="0"/>
          <w:sz w:val="32"/>
          <w:szCs w:val="32"/>
          <w:shd w:val="clear" w:color="auto" w:fill="FFFFFF"/>
          <w:lang w:val="en-US" w:eastAsia="zh-CN"/>
        </w:rPr>
        <w:t>4项：农业农村部2019-2021年度全国农牧渔业丰收奖“农业技术推广贡献奖及农业技术推广成果奖；组织申报2022-2023年度神农中华农业科技奖；院士专家工作站获评“四川省优秀院士（专家）工作站”，“芒果产业化关键技术研发与应用”成果入选四川优秀院士（专家）工作站发展成果；《芒果畸形病绿色防控技术体系创建及应用》拟获2022年度省科技进步三等奖。举办实用技术培训班153期，培训7500余人次，新品种、新技术示范推广面积35万余亩。</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en-US" w:eastAsia="zh-CN"/>
        </w:rPr>
        <w:t>（7）</w:t>
      </w:r>
      <w:r>
        <w:rPr>
          <w:rFonts w:hint="eastAsia" w:ascii="Times New Roman" w:hAnsi="Times New Roman" w:eastAsia="仿宋_GB2312" w:cs="仿宋_GB2312"/>
          <w:kern w:val="0"/>
          <w:sz w:val="32"/>
          <w:szCs w:val="32"/>
          <w:shd w:val="clear" w:color="auto" w:fill="FFFFFF"/>
          <w:lang w:val="zh-CN" w:eastAsia="zh-CN"/>
        </w:rPr>
        <w:t>资金结余率</w:t>
      </w:r>
      <w:r>
        <w:rPr>
          <w:rFonts w:hint="eastAsia" w:ascii="Times New Roman" w:hAnsi="Times New Roman" w:eastAsia="仿宋_GB2312" w:cs="仿宋_GB2312"/>
          <w:kern w:val="0"/>
          <w:sz w:val="32"/>
          <w:szCs w:val="32"/>
          <w:shd w:val="clear" w:color="auto" w:fill="FFFFFF"/>
          <w:lang w:val="en-US" w:eastAsia="zh-CN"/>
        </w:rPr>
        <w:t>0%。</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0" w:firstLineChars="200"/>
        <w:contextualSpacing/>
        <w:jc w:val="left"/>
        <w:textAlignment w:val="auto"/>
        <w:rPr>
          <w:rFonts w:hint="default"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en-US" w:eastAsia="zh-CN"/>
        </w:rPr>
        <w:t>（8）无违规记录。</w:t>
      </w:r>
    </w:p>
    <w:p>
      <w:pPr>
        <w:keepNext w:val="0"/>
        <w:keepLines w:val="0"/>
        <w:pageBreakBefore w:val="0"/>
        <w:widowControl/>
        <w:numPr>
          <w:ilvl w:val="0"/>
          <w:numId w:val="8"/>
        </w:numPr>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hint="eastAsia"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部门整体履职绩效分析</w:t>
      </w:r>
      <w:r>
        <w:rPr>
          <w:rFonts w:hint="eastAsia" w:ascii="Times New Roman" w:hAnsi="Times New Roman" w:eastAsia="仿宋_GB2312" w:cs="仿宋_GB2312"/>
          <w:kern w:val="0"/>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305" w:lineRule="auto"/>
        <w:ind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rPr>
      </w:pPr>
      <w:r>
        <w:rPr>
          <w:rFonts w:hint="eastAsia" w:ascii="Times New Roman" w:hAnsi="Times New Roman" w:eastAsia="仿宋_GB2312" w:cs="仿宋_GB2312"/>
          <w:kern w:val="0"/>
          <w:sz w:val="32"/>
          <w:szCs w:val="32"/>
          <w:shd w:val="clear" w:color="auto" w:fill="FFFFFF"/>
          <w:lang w:val="en-US" w:eastAsia="zh-CN"/>
        </w:rPr>
        <w:t>市农林科学院全面完成2022年的目标，</w:t>
      </w:r>
      <w:r>
        <w:rPr>
          <w:rFonts w:hint="eastAsia" w:eastAsia="仿宋_GB2312" w:cs="仿宋_GB2312"/>
          <w:kern w:val="0"/>
          <w:sz w:val="32"/>
          <w:szCs w:val="32"/>
          <w:shd w:val="clear" w:color="auto" w:fill="FFFFFF"/>
          <w:lang w:val="en-US" w:eastAsia="zh-CN"/>
        </w:rPr>
        <w:t>履职</w:t>
      </w:r>
      <w:r>
        <w:rPr>
          <w:rFonts w:hint="eastAsia" w:ascii="Times New Roman" w:hAnsi="Times New Roman" w:eastAsia="仿宋_GB2312" w:cs="仿宋_GB2312"/>
          <w:kern w:val="0"/>
          <w:sz w:val="32"/>
          <w:szCs w:val="32"/>
          <w:shd w:val="clear" w:color="auto" w:fill="FFFFFF"/>
        </w:rPr>
        <w:t>紧紧围绕省委、省政府对攀枝花发展“两区三地一粮仓一门户”的新定位新要求</w:t>
      </w:r>
      <w:r>
        <w:rPr>
          <w:rFonts w:hint="eastAsia" w:ascii="Times New Roman" w:hAnsi="Times New Roman" w:eastAsia="仿宋_GB2312" w:cs="仿宋_GB2312"/>
          <w:kern w:val="0"/>
          <w:sz w:val="32"/>
          <w:szCs w:val="32"/>
          <w:shd w:val="clear" w:color="auto" w:fill="FFFFFF"/>
          <w:lang w:val="en-US" w:eastAsia="zh-CN"/>
        </w:rPr>
        <w:t>和市委总体发展战略，</w:t>
      </w:r>
      <w:r>
        <w:rPr>
          <w:rFonts w:hint="eastAsia" w:ascii="Times New Roman" w:hAnsi="Times New Roman" w:eastAsia="仿宋_GB2312" w:cs="仿宋_GB2312"/>
          <w:kern w:val="0"/>
          <w:sz w:val="32"/>
          <w:szCs w:val="32"/>
          <w:shd w:val="clear" w:color="auto" w:fill="FFFFFF"/>
        </w:rPr>
        <w:t>扎实推进共同富裕，</w:t>
      </w:r>
      <w:r>
        <w:rPr>
          <w:rFonts w:hint="eastAsia" w:ascii="Times New Roman" w:hAnsi="Times New Roman" w:eastAsia="仿宋_GB2312" w:cs="仿宋_GB2312"/>
          <w:kern w:val="0"/>
          <w:sz w:val="32"/>
          <w:szCs w:val="32"/>
          <w:shd w:val="clear" w:color="auto" w:fill="FFFFFF"/>
          <w:lang w:val="en-US" w:eastAsia="zh-CN"/>
        </w:rPr>
        <w:t>聚焦以安宁河流域高质量发展引领农业农村现代化，</w:t>
      </w:r>
      <w:r>
        <w:rPr>
          <w:rFonts w:hint="eastAsia" w:ascii="Times New Roman" w:hAnsi="Times New Roman" w:eastAsia="仿宋_GB2312" w:cs="仿宋_GB2312"/>
          <w:kern w:val="0"/>
          <w:sz w:val="32"/>
          <w:szCs w:val="32"/>
          <w:shd w:val="clear" w:color="auto" w:fill="FFFFFF"/>
          <w:lang w:eastAsia="zh-CN"/>
        </w:rPr>
        <w:t>立足“</w:t>
      </w:r>
      <w:r>
        <w:rPr>
          <w:rFonts w:hint="eastAsia" w:ascii="Times New Roman" w:hAnsi="Times New Roman" w:eastAsia="仿宋_GB2312" w:cs="仿宋_GB2312"/>
          <w:kern w:val="0"/>
          <w:sz w:val="32"/>
          <w:szCs w:val="32"/>
          <w:shd w:val="clear" w:color="auto" w:fill="FFFFFF"/>
          <w:lang w:val="en-US" w:eastAsia="zh-CN"/>
        </w:rPr>
        <w:t>4+1</w:t>
      </w:r>
      <w:r>
        <w:rPr>
          <w:rFonts w:hint="eastAsia" w:ascii="Times New Roman" w:hAnsi="Times New Roman" w:eastAsia="仿宋_GB2312" w:cs="仿宋_GB2312"/>
          <w:kern w:val="0"/>
          <w:sz w:val="32"/>
          <w:szCs w:val="32"/>
          <w:shd w:val="clear" w:color="auto" w:fill="FFFFFF"/>
          <w:lang w:eastAsia="zh-CN"/>
        </w:rPr>
        <w:t>”现代特色农业产业体系，着力开展育种攻关和特色农业优质高效安全关键核心技术研究，优化完善科研条件平台，</w:t>
      </w:r>
      <w:r>
        <w:rPr>
          <w:rFonts w:hint="eastAsia" w:ascii="Times New Roman" w:hAnsi="Times New Roman" w:eastAsia="仿宋_GB2312" w:cs="仿宋_GB2312"/>
          <w:kern w:val="0"/>
          <w:sz w:val="32"/>
          <w:szCs w:val="32"/>
          <w:shd w:val="clear" w:color="auto" w:fill="FFFFFF"/>
        </w:rPr>
        <w:t>加强科技创新能力和科技成果转化服务能力建设</w:t>
      </w:r>
      <w:r>
        <w:rPr>
          <w:rFonts w:hint="eastAsia" w:ascii="Times New Roman" w:hAnsi="Times New Roman" w:eastAsia="仿宋_GB2312" w:cs="仿宋_GB2312"/>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（三）结果应用情况</w:t>
      </w:r>
      <w:r>
        <w:rPr>
          <w:rFonts w:hint="eastAsia" w:ascii="Times New Roman" w:hAnsi="Times New Roman" w:eastAsia="仿宋_GB2312" w:cs="仿宋_GB2312"/>
          <w:kern w:val="0"/>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val="0"/>
        <w:snapToGrid w:val="0"/>
        <w:spacing w:line="305" w:lineRule="auto"/>
        <w:ind w:leftChars="0" w:firstLine="640" w:firstLineChars="200"/>
        <w:contextualSpacing/>
        <w:jc w:val="left"/>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eastAsia="zh-CN"/>
        </w:rPr>
        <w:t>绩效自评结果应用于单位年度考评并在单位内网公示。公示结果无异议。</w:t>
      </w:r>
      <w:r>
        <w:rPr>
          <w:rFonts w:hint="eastAsia" w:eastAsia="仿宋_GB2312" w:cs="仿宋_GB2312"/>
          <w:kern w:val="0"/>
          <w:sz w:val="32"/>
          <w:szCs w:val="32"/>
          <w:shd w:val="clear" w:color="auto" w:fill="FFFFFF"/>
          <w:lang w:eastAsia="zh-CN"/>
        </w:rPr>
        <w:t>无</w:t>
      </w:r>
      <w:r>
        <w:rPr>
          <w:rFonts w:hint="eastAsia" w:ascii="Times New Roman" w:hAnsi="Times New Roman" w:eastAsia="仿宋_GB2312" w:cs="仿宋_GB2312"/>
          <w:kern w:val="0"/>
          <w:sz w:val="32"/>
          <w:szCs w:val="32"/>
          <w:shd w:val="clear" w:color="auto" w:fill="FFFFFF"/>
          <w:lang w:eastAsia="zh-CN"/>
        </w:rPr>
        <w:t>问题整改</w:t>
      </w:r>
      <w:r>
        <w:rPr>
          <w:rFonts w:hint="eastAsia" w:eastAsia="仿宋_GB2312" w:cs="仿宋_GB2312"/>
          <w:kern w:val="0"/>
          <w:sz w:val="32"/>
          <w:szCs w:val="32"/>
          <w:shd w:val="clear" w:color="auto" w:fill="FFFFFF"/>
          <w:lang w:eastAsia="zh-CN"/>
        </w:rPr>
        <w:t>。应用反馈及时。</w:t>
      </w:r>
    </w:p>
    <w:p>
      <w:pPr>
        <w:keepNext w:val="0"/>
        <w:keepLines w:val="0"/>
        <w:pageBreakBefore w:val="0"/>
        <w:widowControl/>
        <w:numPr>
          <w:ilvl w:val="0"/>
          <w:numId w:val="9"/>
        </w:numPr>
        <w:kinsoku/>
        <w:wordWrap/>
        <w:overflowPunct/>
        <w:topLinePunct w:val="0"/>
        <w:autoSpaceDE/>
        <w:autoSpaceDN/>
        <w:bidi w:val="0"/>
        <w:adjustRightInd w:val="0"/>
        <w:snapToGrid w:val="0"/>
        <w:spacing w:line="305" w:lineRule="auto"/>
        <w:ind w:left="0" w:leftChars="0" w:firstLine="643" w:firstLineChars="200"/>
        <w:contextualSpacing/>
        <w:jc w:val="left"/>
        <w:textAlignment w:val="auto"/>
        <w:rPr>
          <w:rFonts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自评质量</w:t>
      </w:r>
      <w:r>
        <w:rPr>
          <w:rFonts w:hint="eastAsia" w:ascii="Times New Roman" w:hAnsi="Times New Roman" w:eastAsia="仿宋_GB2312" w:cs="仿宋_GB2312"/>
          <w:kern w:val="0"/>
          <w:sz w:val="32"/>
          <w:szCs w:val="32"/>
          <w:shd w:val="clear" w:color="auto" w:fill="FFFFFF"/>
          <w:lang w:val="en-US" w:eastAsia="zh-CN"/>
        </w:rPr>
        <w:t>。</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部门整体支出自评准确率95%以上，自评质量较高。</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firstLine="640" w:firstLineChars="200"/>
        <w:textAlignment w:val="auto"/>
        <w:rPr>
          <w:rFonts w:hint="eastAsia" w:ascii="Times New Roman" w:hAnsi="Times New Roman" w:eastAsia="黑体" w:cs="宋体"/>
          <w:kern w:val="0"/>
          <w:sz w:val="32"/>
          <w:szCs w:val="32"/>
          <w:shd w:val="clear" w:color="auto" w:fill="FFFFFF"/>
        </w:rPr>
      </w:pPr>
      <w:r>
        <w:rPr>
          <w:rFonts w:hint="eastAsia" w:ascii="Times New Roman" w:hAnsi="Times New Roman" w:eastAsia="黑体" w:cs="宋体"/>
          <w:kern w:val="0"/>
          <w:sz w:val="32"/>
          <w:szCs w:val="32"/>
          <w:shd w:val="clear" w:color="auto" w:fill="FFFFFF"/>
          <w:lang w:val="en-US" w:eastAsia="zh-CN"/>
        </w:rPr>
        <w:t>四、</w:t>
      </w:r>
      <w:r>
        <w:rPr>
          <w:rFonts w:hint="eastAsia" w:ascii="Times New Roman" w:hAnsi="Times New Roman" w:eastAsia="黑体" w:cs="宋体"/>
          <w:kern w:val="0"/>
          <w:sz w:val="32"/>
          <w:szCs w:val="32"/>
          <w:shd w:val="clear" w:color="auto" w:fill="FFFFFF"/>
        </w:rPr>
        <w:t>评价结论及建议</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3" w:firstLineChars="200"/>
        <w:textAlignment w:val="auto"/>
        <w:rPr>
          <w:rFonts w:hint="eastAsia" w:ascii="Times New Roman" w:hAnsi="Times New Roman" w:eastAsia="楷体_GB2312" w:cs="楷体_GB2312"/>
          <w:b/>
          <w:bCs/>
          <w:kern w:val="0"/>
          <w:sz w:val="32"/>
          <w:szCs w:val="32"/>
          <w:shd w:val="clear" w:color="auto" w:fill="FFFFFF"/>
          <w:lang w:val="en-US" w:eastAsia="zh-CN"/>
        </w:rPr>
      </w:pPr>
      <w:r>
        <w:rPr>
          <w:rFonts w:hint="eastAsia" w:ascii="Times New Roman" w:hAnsi="Times New Roman" w:eastAsia="楷体_GB2312" w:cs="楷体_GB2312"/>
          <w:b/>
          <w:bCs/>
          <w:kern w:val="0"/>
          <w:sz w:val="32"/>
          <w:szCs w:val="32"/>
          <w:shd w:val="clear" w:color="auto" w:fill="FFFFFF"/>
          <w:lang w:val="zh-CN"/>
        </w:rPr>
        <w:t>（</w:t>
      </w:r>
      <w:r>
        <w:rPr>
          <w:rFonts w:hint="eastAsia" w:ascii="Times New Roman" w:hAnsi="Times New Roman" w:eastAsia="楷体_GB2312" w:cs="楷体_GB2312"/>
          <w:b/>
          <w:bCs/>
          <w:kern w:val="0"/>
          <w:sz w:val="32"/>
          <w:szCs w:val="32"/>
          <w:shd w:val="clear" w:color="auto" w:fill="FFFFFF"/>
          <w:lang w:val="en-US" w:eastAsia="zh-CN"/>
        </w:rPr>
        <w:t>一</w:t>
      </w:r>
      <w:r>
        <w:rPr>
          <w:rFonts w:hint="eastAsia" w:ascii="Times New Roman" w:hAnsi="Times New Roman" w:eastAsia="楷体_GB2312" w:cs="楷体_GB2312"/>
          <w:b/>
          <w:bCs/>
          <w:kern w:val="0"/>
          <w:sz w:val="32"/>
          <w:szCs w:val="32"/>
          <w:shd w:val="clear" w:color="auto" w:fill="FFFFFF"/>
          <w:lang w:val="zh-CN"/>
        </w:rPr>
        <w:t>）评价结论</w:t>
      </w:r>
      <w:r>
        <w:rPr>
          <w:rFonts w:hint="eastAsia" w:ascii="Times New Roman" w:hAnsi="Times New Roman" w:eastAsia="仿宋_GB2312" w:cs="仿宋_GB2312"/>
          <w:kern w:val="0"/>
          <w:sz w:val="32"/>
          <w:szCs w:val="32"/>
          <w:shd w:val="clear" w:color="auto" w:fill="FFFFFF"/>
          <w:lang w:val="en-US" w:eastAsia="zh-CN"/>
        </w:rPr>
        <w:t>。</w:t>
      </w:r>
    </w:p>
    <w:p>
      <w:pPr>
        <w:keepNext w:val="0"/>
        <w:keepLines w:val="0"/>
        <w:pageBreakBefore w:val="0"/>
        <w:numPr>
          <w:ilvl w:val="0"/>
          <w:numId w:val="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市农林科学院完成了2022年的目标和任务 ，进一步提升了全院科技创新能力和科研平台水平，夯实创新基础，有效促进全市特色效益农业提质增效，同时项目管理基本规范，资金管理符合有关要求。经评价组综合评价，市农林科学院得分为94.34分。</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3" w:firstLineChars="200"/>
        <w:textAlignment w:val="auto"/>
        <w:rPr>
          <w:rFonts w:hint="eastAsia"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（二）存在问题</w:t>
      </w:r>
      <w:r>
        <w:rPr>
          <w:rFonts w:hint="eastAsia" w:ascii="Times New Roman" w:hAnsi="Times New Roman" w:eastAsia="仿宋_GB2312" w:cs="仿宋_GB2312"/>
          <w:kern w:val="0"/>
          <w:sz w:val="32"/>
          <w:szCs w:val="32"/>
          <w:shd w:val="clear" w:color="auto" w:fill="FFFFFF"/>
          <w:lang w:val="en-US" w:eastAsia="zh-CN"/>
        </w:rPr>
        <w:t>。</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农业科研项目大多是跨年度实施，实施周期较长，农资、种苗采购，种植受季节性影响，一个项目往往是3-5年，我院承担的大小科研项目较多，致使项目经费年终结余数额较大，部分项目支出进度滞后。</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3" w:firstLineChars="200"/>
        <w:textAlignment w:val="auto"/>
        <w:rPr>
          <w:rFonts w:hint="eastAsia" w:ascii="Times New Roman" w:hAnsi="Times New Roman" w:eastAsia="楷体_GB2312" w:cs="楷体_GB2312"/>
          <w:b/>
          <w:bCs/>
          <w:kern w:val="0"/>
          <w:sz w:val="32"/>
          <w:szCs w:val="32"/>
          <w:shd w:val="clear" w:color="auto" w:fill="FFFFFF"/>
          <w:lang w:val="zh-CN"/>
        </w:rPr>
      </w:pPr>
      <w:r>
        <w:rPr>
          <w:rFonts w:hint="eastAsia" w:ascii="Times New Roman" w:hAnsi="Times New Roman" w:eastAsia="楷体_GB2312" w:cs="楷体_GB2312"/>
          <w:b/>
          <w:bCs/>
          <w:kern w:val="0"/>
          <w:sz w:val="32"/>
          <w:szCs w:val="32"/>
          <w:shd w:val="clear" w:color="auto" w:fill="FFFFFF"/>
          <w:lang w:val="zh-CN"/>
        </w:rPr>
        <w:t>（三）改进建议</w:t>
      </w:r>
      <w:r>
        <w:rPr>
          <w:rFonts w:hint="eastAsia" w:ascii="Times New Roman" w:hAnsi="Times New Roman" w:eastAsia="仿宋_GB2312" w:cs="仿宋_GB2312"/>
          <w:kern w:val="0"/>
          <w:sz w:val="32"/>
          <w:szCs w:val="32"/>
          <w:shd w:val="clear" w:color="auto" w:fill="FFFFFF"/>
          <w:lang w:val="en-US" w:eastAsia="zh-CN"/>
        </w:rPr>
        <w:t>。</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1.建议采用绩效差异化管理方式。对类似死亡抚恤项目这类无法用产出、效益、满意度指标衡量</w:t>
      </w:r>
      <w:r>
        <w:rPr>
          <w:rFonts w:hint="eastAsia" w:ascii="Times New Roman" w:hAnsi="Times New Roman" w:eastAsia="仿宋_GB2312" w:cs="仿宋_GB2312"/>
          <w:kern w:val="2"/>
          <w:sz w:val="32"/>
          <w:szCs w:val="32"/>
          <w:lang w:val="zh-CN" w:eastAsia="zh-CN" w:bidi="ar-SA"/>
        </w:rPr>
        <w:t>绩效指标完成情况，</w:t>
      </w:r>
      <w:r>
        <w:rPr>
          <w:rFonts w:hint="eastAsia" w:ascii="Times New Roman" w:hAnsi="Times New Roman" w:eastAsia="仿宋_GB2312" w:cs="仿宋_GB2312"/>
          <w:kern w:val="2"/>
          <w:sz w:val="32"/>
          <w:szCs w:val="32"/>
          <w:lang w:val="en-US" w:eastAsia="zh-CN" w:bidi="ar-SA"/>
        </w:rPr>
        <w:t>且无实质目标任务而言的项目采用粗放式绩效管理。</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增加绩效管理专项培训。强化绩效理念，加强绩效目标管理，规范开展事前绩效评估，严格执行攀委办〔2019〕71号文规定，做到预算编制有目标，预算执行有监控，预算完成有评价，评价结果有反馈，反馈结果有运用，切实提高资金效益。</w:t>
      </w:r>
    </w:p>
    <w:p>
      <w:pPr>
        <w:keepNext w:val="0"/>
        <w:keepLines w:val="0"/>
        <w:pageBreakBefore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ascii="Times New Roman" w:hAnsi="Times New Roman"/>
          <w:lang w:val="zh-CN"/>
        </w:rPr>
      </w:pPr>
      <w:r>
        <w:rPr>
          <w:rFonts w:hint="eastAsia" w:ascii="Times New Roman" w:hAnsi="Times New Roman" w:eastAsia="仿宋_GB2312" w:cs="仿宋_GB2312"/>
          <w:kern w:val="2"/>
          <w:sz w:val="32"/>
          <w:szCs w:val="32"/>
          <w:lang w:val="en-US" w:eastAsia="zh-CN" w:bidi="ar-SA"/>
        </w:rPr>
        <w:t>3.周期超过一年的项目分年度预算，分年度进行绩效考核。</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640"/>
        <w:textAlignment w:val="auto"/>
        <w:rPr>
          <w:rFonts w:ascii="Times New Roman" w:hAnsi="Times New Roman" w:eastAsia="仿宋_GB2312" w:cs="仿宋_GB2312"/>
          <w:sz w:val="32"/>
          <w:lang w:val="zh-CN"/>
        </w:rPr>
      </w:pPr>
      <w:r>
        <w:rPr>
          <w:rFonts w:hint="eastAsia" w:ascii="Times New Roman" w:hAnsi="Times New Roman" w:eastAsia="仿宋_GB2312" w:cs="仿宋_GB2312"/>
          <w:sz w:val="32"/>
          <w:lang w:val="zh-CN"/>
        </w:rPr>
        <w:t>附表：</w:t>
      </w:r>
      <w:r>
        <w:rPr>
          <w:rFonts w:hint="eastAsia" w:ascii="Times New Roman" w:hAnsi="Times New Roman" w:eastAsia="仿宋_GB2312" w:cs="仿宋_GB2312"/>
          <w:sz w:val="32"/>
        </w:rPr>
        <w:t>部门预算项目支出绩效自评表（2022年度）</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0" w:firstLineChars="0"/>
        <w:textAlignment w:val="auto"/>
        <w:rPr>
          <w:rFonts w:ascii="Times New Roman" w:hAnsi="Times New Roman" w:eastAsia="仿宋_GB2312" w:cs="仿宋_GB2312"/>
          <w:sz w:val="32"/>
          <w:lang w:val="zh-CN"/>
        </w:rPr>
      </w:pPr>
    </w:p>
    <w:p>
      <w:pPr>
        <w:rPr>
          <w:rFonts w:ascii="Times New Roman" w:hAnsi="Times New Roman" w:eastAsia="仿宋_GB2312" w:cs="仿宋_GB2312"/>
          <w:sz w:val="32"/>
          <w:lang w:val="zh-CN"/>
        </w:rPr>
      </w:pPr>
    </w:p>
    <w:p>
      <w:pPr>
        <w:pStyle w:val="2"/>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3"/>
        <w:rPr>
          <w:rFonts w:ascii="Times New Roman" w:hAnsi="Times New Roman" w:eastAsia="仿宋_GB2312" w:cs="仿宋_GB2312"/>
          <w:sz w:val="32"/>
          <w:lang w:val="zh-CN"/>
        </w:rPr>
      </w:pPr>
    </w:p>
    <w:p>
      <w:pPr>
        <w:pStyle w:val="2"/>
        <w:keepNext w:val="0"/>
        <w:keepLines w:val="0"/>
        <w:pageBreakBefore w:val="0"/>
        <w:kinsoku/>
        <w:wordWrap/>
        <w:overflowPunct/>
        <w:topLinePunct w:val="0"/>
        <w:autoSpaceDE/>
        <w:autoSpaceDN/>
        <w:bidi w:val="0"/>
        <w:adjustRightInd w:val="0"/>
        <w:snapToGrid w:val="0"/>
        <w:spacing w:beforeLines="0" w:line="305" w:lineRule="auto"/>
        <w:ind w:left="0" w:leftChars="0"/>
        <w:textAlignment w:val="auto"/>
        <w:rPr>
          <w:rFonts w:ascii="Times New Roman" w:hAnsi="Times New Roman"/>
          <w:sz w:val="32"/>
          <w:szCs w:val="32"/>
        </w:rPr>
      </w:pPr>
      <w:r>
        <w:rPr>
          <w:rFonts w:hint="eastAsia" w:ascii="Times New Roman" w:hAnsi="Times New Roman" w:cs="宋体"/>
          <w:sz w:val="32"/>
          <w:szCs w:val="32"/>
          <w:shd w:val="clear" w:color="auto" w:fill="FFFFFF"/>
          <w:lang w:val="zh-CN"/>
        </w:rPr>
        <w:t>附件</w:t>
      </w:r>
      <w:r>
        <w:rPr>
          <w:rFonts w:hint="eastAsia" w:ascii="Times New Roman" w:hAnsi="Times New Roman" w:cs="宋体"/>
          <w:sz w:val="32"/>
          <w:szCs w:val="32"/>
          <w:shd w:val="clear" w:color="auto" w:fill="FFFFFF"/>
        </w:rPr>
        <w:t>2</w:t>
      </w:r>
    </w:p>
    <w:p>
      <w:pPr>
        <w:pStyle w:val="38"/>
        <w:keepNext w:val="0"/>
        <w:keepLines w:val="0"/>
        <w:pageBreakBefore w:val="0"/>
        <w:kinsoku/>
        <w:wordWrap/>
        <w:overflowPunct/>
        <w:topLinePunct w:val="0"/>
        <w:autoSpaceDE/>
        <w:autoSpaceDN/>
        <w:bidi w:val="0"/>
        <w:adjustRightInd w:val="0"/>
        <w:snapToGrid w:val="0"/>
        <w:spacing w:line="305" w:lineRule="auto"/>
        <w:ind w:left="0" w:leftChars="0"/>
        <w:jc w:val="center"/>
        <w:textAlignment w:val="auto"/>
        <w:rPr>
          <w:rFonts w:ascii="Times New Roman" w:hAnsi="Times New Roman" w:eastAsia="方正小标宋简体" w:cs="方正小标宋简体"/>
          <w:color w:val="auto"/>
          <w:kern w:val="2"/>
          <w:sz w:val="32"/>
          <w:szCs w:val="32"/>
          <w:lang w:val="en-US"/>
        </w:rPr>
      </w:pPr>
      <w:r>
        <w:rPr>
          <w:rFonts w:hint="eastAsia" w:ascii="Times New Roman" w:hAnsi="Times New Roman" w:eastAsia="方正小标宋_GBK" w:cs="方正小标宋_GBK"/>
          <w:color w:val="auto"/>
          <w:kern w:val="2"/>
          <w:sz w:val="38"/>
          <w:szCs w:val="38"/>
          <w:lang w:val="en-US"/>
        </w:rPr>
        <w:t>2023年市级专项资金预算项目绩效自评报告</w:t>
      </w:r>
    </w:p>
    <w:p>
      <w:pPr>
        <w:pStyle w:val="38"/>
        <w:keepNext w:val="0"/>
        <w:keepLines w:val="0"/>
        <w:pageBreakBefore w:val="0"/>
        <w:kinsoku/>
        <w:wordWrap/>
        <w:overflowPunct/>
        <w:topLinePunct w:val="0"/>
        <w:autoSpaceDE/>
        <w:autoSpaceDN/>
        <w:bidi w:val="0"/>
        <w:adjustRightInd w:val="0"/>
        <w:snapToGrid w:val="0"/>
        <w:spacing w:line="305" w:lineRule="auto"/>
        <w:ind w:left="0" w:leftChars="0" w:firstLine="640"/>
        <w:jc w:val="center"/>
        <w:textAlignment w:val="auto"/>
        <w:rPr>
          <w:rFonts w:ascii="Times New Roman" w:hAnsi="Times New Roman"/>
          <w:color w:val="auto"/>
          <w:kern w:val="2"/>
          <w:sz w:val="32"/>
          <w:szCs w:val="32"/>
        </w:rPr>
      </w:pPr>
    </w:p>
    <w:p>
      <w:pPr>
        <w:keepNext w:val="0"/>
        <w:keepLines w:val="0"/>
        <w:pageBreakBefore w:val="0"/>
        <w:kinsoku/>
        <w:wordWrap/>
        <w:overflowPunct/>
        <w:topLinePunct w:val="0"/>
        <w:autoSpaceDE/>
        <w:autoSpaceDN/>
        <w:bidi w:val="0"/>
        <w:adjustRightInd w:val="0"/>
        <w:snapToGrid w:val="0"/>
        <w:spacing w:line="305" w:lineRule="auto"/>
        <w:ind w:left="0" w:leftChars="0" w:firstLine="720"/>
        <w:jc w:val="both"/>
        <w:textAlignment w:val="auto"/>
        <w:rPr>
          <w:rFonts w:ascii="Times New Roman" w:hAnsi="Times New Roman" w:eastAsia="黑体"/>
          <w:sz w:val="32"/>
          <w:szCs w:val="32"/>
          <w:lang w:val="zh-CN"/>
        </w:rPr>
      </w:pPr>
      <w:r>
        <w:rPr>
          <w:rFonts w:hint="eastAsia" w:ascii="Times New Roman" w:hAnsi="Times New Roman" w:eastAsia="黑体"/>
          <w:sz w:val="32"/>
          <w:szCs w:val="32"/>
        </w:rPr>
        <w:t>一、</w:t>
      </w:r>
      <w:r>
        <w:rPr>
          <w:rFonts w:hint="eastAsia" w:ascii="Times New Roman" w:hAnsi="Times New Roman" w:eastAsia="黑体"/>
          <w:sz w:val="32"/>
          <w:szCs w:val="32"/>
          <w:lang w:val="zh-CN"/>
        </w:rPr>
        <w:t>项目概况</w:t>
      </w:r>
    </w:p>
    <w:p>
      <w:pPr>
        <w:keepNext w:val="0"/>
        <w:keepLines w:val="0"/>
        <w:pageBreakBefore w:val="0"/>
        <w:kinsoku/>
        <w:wordWrap/>
        <w:overflowPunct/>
        <w:topLinePunct w:val="0"/>
        <w:autoSpaceDE/>
        <w:autoSpaceDN/>
        <w:bidi w:val="0"/>
        <w:adjustRightInd w:val="0"/>
        <w:snapToGrid w:val="0"/>
        <w:spacing w:line="305" w:lineRule="auto"/>
        <w:ind w:left="0" w:leftChars="0" w:firstLine="720"/>
        <w:jc w:val="both"/>
        <w:textAlignment w:val="auto"/>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（一）项目基本情况。</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1．说明项目主管部门（单位）在该项目管理中的职能。</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攀枝花市农林科学研究院主要职责是围绕我市地方经济发展，承担农业、林业、水利等方面科学技术研究及技术推广应用工作。2022年全年在研项目80项，其中新上项目13项，完成15项。</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en-US" w:eastAsia="zh-CN" w:bidi="ar-SA"/>
        </w:rPr>
        <w:t>2.</w:t>
      </w:r>
      <w:r>
        <w:rPr>
          <w:rFonts w:hint="eastAsia" w:ascii="Times New Roman" w:hAnsi="Times New Roman" w:eastAsia="仿宋_GB2312" w:cs="仿宋_GB2312"/>
          <w:kern w:val="2"/>
          <w:sz w:val="32"/>
          <w:szCs w:val="32"/>
          <w:lang w:val="zh-CN" w:eastAsia="zh-CN" w:bidi="ar-SA"/>
        </w:rPr>
        <w:t>项目立项、资金申报的依据，包括但不限于：项目涉及的中省相关政策文件和规划、项目设立论证资料、资金安排相关文件等。附相关文件资料。</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严格按照相关部门的管理办法和项目申报指南进行项目立项与资金申报，经项目下达部门进行评审、公示，项目立项、资金申报结果由项目下达部门确定。</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en-US" w:eastAsia="zh-CN" w:bidi="ar-SA"/>
        </w:rPr>
        <w:t>3.</w:t>
      </w:r>
      <w:r>
        <w:rPr>
          <w:rFonts w:hint="eastAsia" w:ascii="Times New Roman" w:hAnsi="Times New Roman" w:eastAsia="仿宋_GB2312" w:cs="仿宋_GB2312"/>
          <w:kern w:val="2"/>
          <w:sz w:val="32"/>
          <w:szCs w:val="32"/>
          <w:lang w:val="zh-CN" w:eastAsia="zh-CN" w:bidi="ar-SA"/>
        </w:rPr>
        <w:t>资金或项目管理办法制定情况，资金支持具体项目的条件、范围与支持方式概况。附资金或项目管理办法。</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en-US" w:eastAsia="zh-CN" w:bidi="ar-SA"/>
        </w:rPr>
        <w:t xml:space="preserve"> </w:t>
      </w:r>
      <w:r>
        <w:rPr>
          <w:rFonts w:hint="eastAsia" w:ascii="Times New Roman" w:hAnsi="Times New Roman" w:eastAsia="仿宋_GB2312" w:cs="仿宋_GB2312"/>
          <w:kern w:val="2"/>
          <w:sz w:val="32"/>
          <w:szCs w:val="32"/>
          <w:lang w:val="zh-CN" w:eastAsia="zh-CN" w:bidi="ar-SA"/>
        </w:rPr>
        <w:t>项目资金管理办法严格按照各级项目下达部门资金管理办法和《攀枝花市农林科学研究院关于修订印发&lt;攀枝花市农林科学研究院科研项目管理试行办法&gt;的通知》（攀农林〔2019〕55号）执行。实行每一个项目会计独立核算，专款专用。当年有项目实施内容与经费预算的项目获得项目资金支持，落实当年经费预算100%。</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en-US" w:eastAsia="zh-CN" w:bidi="ar-SA"/>
        </w:rPr>
        <w:t>4.</w:t>
      </w:r>
      <w:r>
        <w:rPr>
          <w:rFonts w:hint="eastAsia" w:ascii="Times New Roman" w:hAnsi="Times New Roman" w:eastAsia="仿宋_GB2312" w:cs="仿宋_GB2312"/>
          <w:kern w:val="2"/>
          <w:sz w:val="32"/>
          <w:szCs w:val="32"/>
          <w:lang w:val="zh-CN" w:eastAsia="zh-CN" w:bidi="ar-SA"/>
        </w:rPr>
        <w:t>资金分配的原则及考虑因素。</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市级及以上科研项目通过采取竞争性立项的方式获得</w:t>
      </w:r>
    </w:p>
    <w:p>
      <w:pPr>
        <w:keepNext w:val="0"/>
        <w:keepLines w:val="0"/>
        <w:pageBreakBefore w:val="0"/>
        <w:widowControl w:val="0"/>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资金支持，不存在资金分配的问题，按要求实行专款专用，单独建帐；省创新团队项目按照《四川省财政厅 四川省农业农村厅关于印发《国家现代农业产业技术体系四川创新团队建设专项资金管理办法》的通知》（川财规〔2019〕4号）的要求，根据课题的研究内容进行资金分配。</w:t>
      </w:r>
    </w:p>
    <w:p>
      <w:pPr>
        <w:keepNext w:val="0"/>
        <w:keepLines w:val="0"/>
        <w:pageBreakBefore w:val="0"/>
        <w:widowControl w:val="0"/>
        <w:numPr>
          <w:ilvl w:val="0"/>
          <w:numId w:val="1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left="0" w:leftChars="0" w:firstLine="643" w:firstLineChars="200"/>
        <w:textAlignment w:val="auto"/>
        <w:rPr>
          <w:rFonts w:hint="eastAsia" w:ascii="Times New Roman" w:hAnsi="Times New Roman" w:eastAsia="楷体_GB2312"/>
          <w:b/>
          <w:sz w:val="32"/>
          <w:szCs w:val="32"/>
          <w:lang w:val="zh-CN"/>
        </w:rPr>
      </w:pPr>
      <w:r>
        <w:rPr>
          <w:rFonts w:hint="eastAsia" w:ascii="Times New Roman" w:hAnsi="Times New Roman" w:eastAsia="楷体_GB2312"/>
          <w:b/>
          <w:sz w:val="32"/>
          <w:szCs w:val="32"/>
          <w:lang w:val="zh-CN"/>
        </w:rPr>
        <w:t>项目绩效目标。</w:t>
      </w:r>
    </w:p>
    <w:p>
      <w:pPr>
        <w:keepNext w:val="0"/>
        <w:keepLines w:val="0"/>
        <w:pageBreakBefore w:val="0"/>
        <w:widowControl w:val="0"/>
        <w:numPr>
          <w:ilvl w:val="0"/>
          <w:numId w:val="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firstLine="640" w:firstLineChars="200"/>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zh-CN" w:eastAsia="zh-CN"/>
        </w:rPr>
        <w:t>1</w:t>
      </w:r>
      <w:r>
        <w:rPr>
          <w:rFonts w:hint="eastAsia" w:ascii="Times New Roman" w:hAnsi="Times New Roman"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lang w:val="zh-CN" w:eastAsia="zh-CN"/>
        </w:rPr>
        <w:t>项目主要内容。</w:t>
      </w:r>
    </w:p>
    <w:p>
      <w:pPr>
        <w:keepNext w:val="0"/>
        <w:keepLines w:val="0"/>
        <w:pageBreakBefore w:val="0"/>
        <w:widowControl w:val="0"/>
        <w:numPr>
          <w:ilvl w:val="0"/>
          <w:numId w:val="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firstLine="640" w:firstLineChars="200"/>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zh-CN" w:eastAsia="zh-CN"/>
        </w:rPr>
        <w:t>本年度实施的80个科研项目，主要内容是各类作物、蔬菜、果树、食用菌、牛羊等的新品种选育、关键栽培技术研发，以及新品种、新技术的推广应用。</w:t>
      </w:r>
    </w:p>
    <w:p>
      <w:pPr>
        <w:keepNext w:val="0"/>
        <w:keepLines w:val="0"/>
        <w:pageBreakBefore w:val="0"/>
        <w:widowControl w:val="0"/>
        <w:numPr>
          <w:ilvl w:val="0"/>
          <w:numId w:val="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firstLine="640" w:firstLineChars="200"/>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lang w:val="zh-CN" w:eastAsia="zh-CN"/>
        </w:rPr>
        <w:t>项目应实现的具体绩效目标，包括但不限于：绩效目标的量化细化情况、项目实施进度计划等。</w:t>
      </w:r>
    </w:p>
    <w:p>
      <w:pPr>
        <w:keepNext w:val="0"/>
        <w:keepLines w:val="0"/>
        <w:pageBreakBefore w:val="0"/>
        <w:widowControl w:val="0"/>
        <w:numPr>
          <w:ilvl w:val="0"/>
          <w:numId w:val="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firstLine="640" w:firstLineChars="200"/>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zh-CN" w:eastAsia="zh-CN"/>
        </w:rPr>
        <w:t>全年开展科研项目80项以上，新上项目13项以上，完成科研项目15项，其中专项预算项目9项。</w:t>
      </w:r>
    </w:p>
    <w:p>
      <w:pPr>
        <w:keepNext w:val="0"/>
        <w:keepLines w:val="0"/>
        <w:pageBreakBefore w:val="0"/>
        <w:widowControl w:val="0"/>
        <w:numPr>
          <w:ilvl w:val="0"/>
          <w:numId w:val="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ind w:firstLine="640" w:firstLineChars="200"/>
        <w:textAlignment w:val="auto"/>
        <w:rPr>
          <w:rFonts w:hint="eastAsia" w:ascii="Times New Roman" w:hAnsi="Times New Roman" w:eastAsia="仿宋_GB2312" w:cs="仿宋_GB2312"/>
          <w:kern w:val="0"/>
          <w:sz w:val="32"/>
          <w:szCs w:val="32"/>
          <w:shd w:val="clear" w:color="auto" w:fill="FFFFFF"/>
          <w:lang w:val="zh-CN" w:eastAsia="zh-CN"/>
        </w:rPr>
      </w:pP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lang w:val="zh-CN" w:eastAsia="zh-CN"/>
        </w:rPr>
        <w:t>分析评价申报内容是否与实际相符，申报目标是否合理可行。</w:t>
      </w:r>
    </w:p>
    <w:p>
      <w:pPr>
        <w:keepNext w:val="0"/>
        <w:keepLines w:val="0"/>
        <w:pageBreakBefore w:val="0"/>
        <w:widowControl w:val="0"/>
        <w:numPr>
          <w:ilvl w:val="0"/>
          <w:numId w:val="0"/>
        </w:numPr>
        <w:pBdr>
          <w:top w:val="single" w:color="FFFFFF" w:sz="4" w:space="1"/>
          <w:left w:val="single" w:color="FFFFFF" w:sz="4" w:space="31"/>
          <w:bottom w:val="single" w:color="FFFFFF" w:sz="4" w:space="31"/>
          <w:right w:val="single" w:color="FFFFFF" w:sz="4" w:space="0"/>
        </w:pBdr>
        <w:kinsoku/>
        <w:wordWrap/>
        <w:overflowPunct/>
        <w:topLinePunct w:val="0"/>
        <w:autoSpaceDE/>
        <w:autoSpaceDN/>
        <w:bidi w:val="0"/>
        <w:adjustRightInd w:val="0"/>
        <w:snapToGrid w:val="0"/>
        <w:spacing w:line="305" w:lineRule="auto"/>
        <w:textAlignment w:val="auto"/>
        <w:rPr>
          <w:rFonts w:hint="default"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en-US" w:eastAsia="zh-CN"/>
        </w:rPr>
        <w:t xml:space="preserve">    </w:t>
      </w:r>
      <w:r>
        <w:rPr>
          <w:rFonts w:hint="eastAsia" w:ascii="Times New Roman" w:hAnsi="Times New Roman" w:eastAsia="仿宋_GB2312" w:cs="仿宋_GB2312"/>
          <w:kern w:val="0"/>
          <w:sz w:val="32"/>
          <w:szCs w:val="32"/>
          <w:shd w:val="clear" w:color="auto" w:fill="FFFFFF"/>
          <w:lang w:val="zh-CN" w:eastAsia="zh-CN"/>
        </w:rPr>
        <w:t>所有申报项目均是符合相关部门的申报指南，提出的研究内容和考核指标符合指南要求，本年度新上项目无项目调整的内容，项目目标具有可行性和实现的可能性，完全按照项目任务书或合同的相关内容组织实施。</w:t>
      </w:r>
    </w:p>
    <w:p>
      <w:pPr>
        <w:keepNext w:val="0"/>
        <w:keepLines w:val="0"/>
        <w:pageBreakBefore w:val="0"/>
        <w:kinsoku/>
        <w:wordWrap/>
        <w:overflowPunct/>
        <w:topLinePunct w:val="0"/>
        <w:autoSpaceDE/>
        <w:autoSpaceDN/>
        <w:bidi w:val="0"/>
        <w:adjustRightInd w:val="0"/>
        <w:snapToGrid w:val="0"/>
        <w:spacing w:line="305" w:lineRule="auto"/>
        <w:ind w:left="0" w:leftChars="0" w:firstLine="720"/>
        <w:jc w:val="both"/>
        <w:textAlignment w:val="auto"/>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（三）项目自评步骤及方法。</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我院成立了由院分管领导、财务科、科技管理科组成的绩效自评小组，对全院专项预算项目开展了绩效自评，形成绩效自评报告。</w:t>
      </w:r>
    </w:p>
    <w:p>
      <w:pPr>
        <w:keepNext w:val="0"/>
        <w:keepLines w:val="0"/>
        <w:pageBreakBefore w:val="0"/>
        <w:kinsoku/>
        <w:wordWrap/>
        <w:overflowPunct/>
        <w:topLinePunct w:val="0"/>
        <w:autoSpaceDE/>
        <w:autoSpaceDN/>
        <w:bidi w:val="0"/>
        <w:adjustRightInd w:val="0"/>
        <w:snapToGrid w:val="0"/>
        <w:spacing w:line="305" w:lineRule="auto"/>
        <w:ind w:left="0" w:leftChars="0" w:firstLine="720"/>
        <w:jc w:val="both"/>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305" w:lineRule="auto"/>
        <w:ind w:left="0" w:leftChars="0" w:firstLine="720"/>
        <w:jc w:val="both"/>
        <w:textAlignment w:val="auto"/>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（一）项目资金申报及批复情况。</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严格按照相关部门的管理办法和项目申报指南进行项目立项与资金申报，项目立项、资金申报结果由项目下达部门确定，符合资金管理办法等相关规定。当年新上科研项目9项，到位项目资金</w:t>
      </w:r>
      <w:r>
        <w:rPr>
          <w:rFonts w:hint="eastAsia" w:ascii="Times New Roman" w:hAnsi="Times New Roman" w:eastAsia="仿宋_GB2312" w:cs="仿宋_GB2312"/>
          <w:sz w:val="32"/>
          <w:szCs w:val="32"/>
          <w:lang w:val="en-US" w:eastAsia="zh-CN"/>
        </w:rPr>
        <w:t>453.71</w:t>
      </w:r>
      <w:r>
        <w:rPr>
          <w:rFonts w:hint="eastAsia" w:ascii="Times New Roman" w:hAnsi="Times New Roman" w:eastAsia="仿宋_GB2312" w:cs="仿宋_GB2312"/>
          <w:sz w:val="32"/>
          <w:szCs w:val="32"/>
          <w:lang w:val="zh-CN" w:eastAsia="zh-CN"/>
        </w:rPr>
        <w:t>万元，所有项目当年无项目预算调整。</w:t>
      </w:r>
    </w:p>
    <w:p>
      <w:pPr>
        <w:keepNext w:val="0"/>
        <w:keepLines w:val="0"/>
        <w:pageBreakBefore w:val="0"/>
        <w:kinsoku/>
        <w:wordWrap/>
        <w:overflowPunct/>
        <w:topLinePunct w:val="0"/>
        <w:autoSpaceDE/>
        <w:autoSpaceDN/>
        <w:bidi w:val="0"/>
        <w:adjustRightInd w:val="0"/>
        <w:snapToGrid w:val="0"/>
        <w:spacing w:line="305" w:lineRule="auto"/>
        <w:ind w:left="0" w:leftChars="0" w:firstLine="720"/>
        <w:jc w:val="both"/>
        <w:textAlignment w:val="auto"/>
        <w:rPr>
          <w:rFonts w:ascii="Times New Roman" w:hAnsi="Times New Roman"/>
          <w:sz w:val="32"/>
          <w:szCs w:val="32"/>
          <w:lang w:val="zh-CN"/>
        </w:rPr>
      </w:pPr>
      <w:r>
        <w:rPr>
          <w:rFonts w:hint="eastAsia" w:ascii="Times New Roman" w:hAnsi="Times New Roman" w:eastAsia="楷体_GB2312"/>
          <w:b/>
          <w:sz w:val="32"/>
          <w:szCs w:val="32"/>
          <w:lang w:val="zh-CN"/>
        </w:rPr>
        <w:t>（二）资金计划、到位及使用情况。</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1．资金计划。</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专项资金计划</w:t>
      </w:r>
      <w:r>
        <w:rPr>
          <w:rFonts w:hint="eastAsia" w:ascii="Times New Roman" w:hAnsi="Times New Roman" w:eastAsia="仿宋_GB2312" w:cs="仿宋_GB2312"/>
          <w:sz w:val="32"/>
          <w:szCs w:val="32"/>
          <w:lang w:val="en-US" w:eastAsia="zh-CN"/>
        </w:rPr>
        <w:t>453.71</w:t>
      </w:r>
      <w:r>
        <w:rPr>
          <w:rFonts w:hint="eastAsia" w:ascii="Times New Roman" w:hAnsi="Times New Roman" w:eastAsia="仿宋_GB2312" w:cs="仿宋_GB2312"/>
          <w:sz w:val="32"/>
          <w:szCs w:val="32"/>
          <w:lang w:val="zh-CN" w:eastAsia="zh-CN"/>
        </w:rPr>
        <w:t>万元，当年专项资金到位</w:t>
      </w:r>
      <w:r>
        <w:rPr>
          <w:rFonts w:hint="eastAsia" w:ascii="Times New Roman" w:hAnsi="Times New Roman" w:eastAsia="仿宋_GB2312" w:cs="仿宋_GB2312"/>
          <w:sz w:val="32"/>
          <w:szCs w:val="32"/>
          <w:lang w:val="en-US" w:eastAsia="zh-CN"/>
        </w:rPr>
        <w:t>453.71</w:t>
      </w:r>
      <w:r>
        <w:rPr>
          <w:rFonts w:hint="eastAsia" w:ascii="Times New Roman" w:hAnsi="Times New Roman" w:eastAsia="仿宋_GB2312" w:cs="仿宋_GB2312"/>
          <w:sz w:val="32"/>
          <w:szCs w:val="32"/>
          <w:lang w:val="zh-CN" w:eastAsia="zh-CN"/>
        </w:rPr>
        <w:t>万元，所有科研项目资金均为各级财政资金，各级科研项目经费按照相关管理办法，年度经费及时足额到位，到位率100%，无自筹资金。</w:t>
      </w:r>
    </w:p>
    <w:tbl>
      <w:tblPr>
        <w:tblStyle w:val="17"/>
        <w:tblpPr w:leftFromText="180" w:rightFromText="180" w:vertAnchor="text" w:horzAnchor="page" w:tblpXSpec="center" w:tblpY="303"/>
        <w:tblOverlap w:val="never"/>
        <w:tblW w:w="10050" w:type="dxa"/>
        <w:jc w:val="center"/>
        <w:tblLayout w:type="fixed"/>
        <w:tblCellMar>
          <w:top w:w="0" w:type="dxa"/>
          <w:left w:w="108" w:type="dxa"/>
          <w:bottom w:w="0" w:type="dxa"/>
          <w:right w:w="108" w:type="dxa"/>
        </w:tblCellMar>
      </w:tblPr>
      <w:tblGrid>
        <w:gridCol w:w="645"/>
        <w:gridCol w:w="1935"/>
        <w:gridCol w:w="1770"/>
        <w:gridCol w:w="1320"/>
        <w:gridCol w:w="1395"/>
        <w:gridCol w:w="840"/>
        <w:gridCol w:w="600"/>
        <w:gridCol w:w="795"/>
        <w:gridCol w:w="750"/>
      </w:tblGrid>
      <w:tr>
        <w:tblPrEx>
          <w:tblCellMar>
            <w:top w:w="0" w:type="dxa"/>
            <w:left w:w="108" w:type="dxa"/>
            <w:bottom w:w="0" w:type="dxa"/>
            <w:right w:w="108" w:type="dxa"/>
          </w:tblCellMar>
        </w:tblPrEx>
        <w:trPr>
          <w:trHeight w:val="59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序号</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项目名称</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计划编号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来源</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起止年限</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主持人</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总经费</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当年到位经费</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kern w:val="0"/>
                <w:sz w:val="18"/>
                <w:szCs w:val="18"/>
              </w:rPr>
              <w:t>使用情况</w:t>
            </w:r>
          </w:p>
        </w:tc>
      </w:tr>
      <w:tr>
        <w:tblPrEx>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kern w:val="0"/>
                <w:sz w:val="18"/>
                <w:szCs w:val="18"/>
              </w:rPr>
            </w:pPr>
            <w:r>
              <w:rPr>
                <w:rFonts w:hint="eastAsia" w:ascii="Times New Roman" w:hAnsi="Times New Roman" w:cs="仿宋_GB2312"/>
                <w:b/>
                <w:kern w:val="0"/>
                <w:sz w:val="18"/>
                <w:szCs w:val="18"/>
              </w:rPr>
              <w:t>1</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四川省奶油果(鳄梨)品种资源圃建设</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攀农函〔2020〕107 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市农业农村局市财政局</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202001-202012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罗照西</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150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3.7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3.7</w:t>
            </w:r>
          </w:p>
        </w:tc>
      </w:tr>
      <w:tr>
        <w:tblPrEx>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2</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攀西特色块菌（松露）仿生栽培技术示范推广</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川财资环【2022】34号、36号，攀财资环资[2022]26号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hint="eastAsia" w:ascii="Times New Roman" w:hAnsi="Times New Roman" w:cs="仿宋_GB2312"/>
                <w:sz w:val="18"/>
                <w:szCs w:val="18"/>
              </w:rPr>
            </w:pPr>
            <w:r>
              <w:rPr>
                <w:rFonts w:hint="eastAsia" w:ascii="Times New Roman" w:hAnsi="Times New Roman" w:cs="仿宋_GB2312"/>
                <w:sz w:val="18"/>
                <w:szCs w:val="18"/>
              </w:rPr>
              <w:t>省财政厅</w:t>
            </w:r>
          </w:p>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省林草局</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202201-202312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杨梅</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70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27.58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27.58</w:t>
            </w:r>
          </w:p>
        </w:tc>
      </w:tr>
      <w:tr>
        <w:tblPrEx>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3</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特色农业种业创新研究与示范</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攀财资农【2022】65号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市乡村振兴局、市财政局</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202201-202212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刀丽平</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100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100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100</w:t>
            </w:r>
          </w:p>
        </w:tc>
      </w:tr>
      <w:tr>
        <w:tblPrEx>
          <w:tblCellMar>
            <w:top w:w="0" w:type="dxa"/>
            <w:left w:w="108" w:type="dxa"/>
            <w:bottom w:w="0" w:type="dxa"/>
            <w:right w:w="108" w:type="dxa"/>
          </w:tblCellMar>
        </w:tblPrEx>
        <w:trPr>
          <w:trHeight w:val="10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4</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农业农村部攀枝花金沙江干热河谷区农业科学观测实验站</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川农函〔2018〕58 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省农业农村厅</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201901-202012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罗照西</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1207</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79.84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79.84</w:t>
            </w:r>
          </w:p>
        </w:tc>
      </w:tr>
      <w:tr>
        <w:tblPrEx>
          <w:tblCellMar>
            <w:top w:w="0" w:type="dxa"/>
            <w:left w:w="108" w:type="dxa"/>
            <w:bottom w:w="0" w:type="dxa"/>
            <w:right w:w="108" w:type="dxa"/>
          </w:tblCellMar>
        </w:tblPrEx>
        <w:trPr>
          <w:trHeight w:val="108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5</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攀西特色水果新品种新技术应用与示范</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2022JDKP0042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省科技厅</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202201-202312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黄云</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16.59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16.59</w:t>
            </w:r>
          </w:p>
        </w:tc>
      </w:tr>
      <w:tr>
        <w:tblPrEx>
          <w:tblCellMar>
            <w:top w:w="0" w:type="dxa"/>
            <w:left w:w="108" w:type="dxa"/>
            <w:bottom w:w="0" w:type="dxa"/>
            <w:right w:w="108" w:type="dxa"/>
          </w:tblCellMar>
        </w:tblPrEx>
        <w:trPr>
          <w:trHeight w:val="102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6</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攀枝花市国家储林建设及花卉产业发展的乡土植物品种筛选培育技术与推广应用</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攀农林【2022】621号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市林业局</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202203-202312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彭洪恩</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150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100.99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100.99</w:t>
            </w:r>
          </w:p>
        </w:tc>
      </w:tr>
      <w:tr>
        <w:tblPrEx>
          <w:tblCellMar>
            <w:top w:w="0" w:type="dxa"/>
            <w:left w:w="108" w:type="dxa"/>
            <w:bottom w:w="0" w:type="dxa"/>
            <w:right w:w="108" w:type="dxa"/>
          </w:tblCellMar>
        </w:tblPrEx>
        <w:trPr>
          <w:trHeight w:val="102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7</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攀枝花市中高山主要果园林地综合利用关键技术研究与示范</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21ZYZF-N-01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市科技局</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202202-202401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兰海</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45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26.61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26.61</w:t>
            </w:r>
          </w:p>
        </w:tc>
      </w:tr>
      <w:tr>
        <w:tblPrEx>
          <w:tblCellMar>
            <w:top w:w="0" w:type="dxa"/>
            <w:left w:w="108" w:type="dxa"/>
            <w:bottom w:w="0" w:type="dxa"/>
            <w:right w:w="108" w:type="dxa"/>
          </w:tblCellMar>
        </w:tblPrEx>
        <w:trPr>
          <w:trHeight w:val="6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8</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攀枝花市粮饲兼用型藜麦种养循环关键技术研究</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市财政</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textAlignment w:val="center"/>
              <w:rPr>
                <w:rFonts w:ascii="Times New Roman" w:hAnsi="Times New Roman" w:cs="仿宋_GB2312"/>
                <w:sz w:val="18"/>
                <w:szCs w:val="18"/>
              </w:rPr>
            </w:pPr>
            <w:r>
              <w:rPr>
                <w:rFonts w:hint="eastAsia" w:ascii="Times New Roman" w:hAnsi="Times New Roman" w:cs="仿宋_GB2312"/>
                <w:sz w:val="18"/>
                <w:szCs w:val="18"/>
              </w:rPr>
              <w:t>202109-202212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唐力为</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20.2</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2.43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rFonts w:ascii="Times New Roman" w:hAnsi="Times New Roman" w:cs="仿宋_GB2312"/>
                <w:sz w:val="18"/>
                <w:szCs w:val="18"/>
              </w:rPr>
            </w:pPr>
            <w:r>
              <w:rPr>
                <w:rFonts w:hint="eastAsia" w:ascii="Times New Roman" w:hAnsi="Times New Roman" w:cs="仿宋_GB2312"/>
                <w:sz w:val="18"/>
                <w:szCs w:val="18"/>
              </w:rPr>
              <w:t>2.43</w:t>
            </w:r>
          </w:p>
        </w:tc>
      </w:tr>
      <w:tr>
        <w:tblPrEx>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b/>
                <w:sz w:val="18"/>
                <w:szCs w:val="18"/>
              </w:rPr>
            </w:pPr>
            <w:r>
              <w:rPr>
                <w:rFonts w:hint="eastAsia" w:ascii="Times New Roman" w:hAnsi="Times New Roman" w:cs="仿宋_GB2312"/>
                <w:b/>
                <w:sz w:val="18"/>
                <w:szCs w:val="18"/>
              </w:rPr>
              <w:t>9</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left"/>
              <w:textAlignment w:val="center"/>
              <w:rPr>
                <w:rFonts w:ascii="Times New Roman" w:hAnsi="Times New Roman" w:cs="仿宋_GB2312"/>
                <w:sz w:val="18"/>
                <w:szCs w:val="18"/>
              </w:rPr>
            </w:pPr>
            <w:r>
              <w:rPr>
                <w:rFonts w:hint="eastAsia" w:ascii="Times New Roman" w:hAnsi="Times New Roman" w:cs="仿宋_GB2312"/>
                <w:sz w:val="18"/>
                <w:szCs w:val="18"/>
              </w:rPr>
              <w:t>南亚作物创新团队 首席专家</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川农函【2019】472号</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省农业农村厅</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sz w:val="18"/>
                <w:szCs w:val="18"/>
              </w:rPr>
              <w:t>201901-202312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罗照西（首席）</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sz w:val="18"/>
                <w:szCs w:val="18"/>
              </w:rPr>
            </w:pPr>
            <w:r>
              <w:rPr>
                <w:rFonts w:hint="eastAsia" w:ascii="Times New Roman" w:hAnsi="Times New Roman" w:cs="仿宋_GB2312"/>
                <w:kern w:val="0"/>
                <w:sz w:val="18"/>
                <w:szCs w:val="18"/>
              </w:rPr>
              <w:t>96</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95.97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95.97</w:t>
            </w:r>
          </w:p>
        </w:tc>
      </w:tr>
      <w:tr>
        <w:tblPrEx>
          <w:tblCellMar>
            <w:top w:w="0" w:type="dxa"/>
            <w:left w:w="108" w:type="dxa"/>
            <w:bottom w:w="0" w:type="dxa"/>
            <w:right w:w="108" w:type="dxa"/>
          </w:tblCellMar>
        </w:tblPrEx>
        <w:trPr>
          <w:trHeight w:val="840" w:hRule="atLeast"/>
          <w:jc w:val="center"/>
        </w:trPr>
        <w:tc>
          <w:tcPr>
            <w:tcW w:w="8505" w:type="dxa"/>
            <w:gridSpan w:val="7"/>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合     计</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453.71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jc w:val="center"/>
              <w:textAlignment w:val="center"/>
              <w:rPr>
                <w:rFonts w:ascii="Times New Roman" w:hAnsi="Times New Roman" w:cs="仿宋_GB2312"/>
                <w:kern w:val="0"/>
                <w:sz w:val="18"/>
                <w:szCs w:val="18"/>
              </w:rPr>
            </w:pPr>
            <w:r>
              <w:rPr>
                <w:rFonts w:hint="eastAsia" w:ascii="Times New Roman" w:hAnsi="Times New Roman" w:cs="仿宋_GB2312"/>
                <w:kern w:val="0"/>
                <w:sz w:val="18"/>
                <w:szCs w:val="18"/>
              </w:rPr>
              <w:t>453.71</w:t>
            </w:r>
          </w:p>
        </w:tc>
      </w:tr>
    </w:tbl>
    <w:p>
      <w:pPr>
        <w:widowControl/>
        <w:adjustRightInd w:val="0"/>
        <w:snapToGrid w:val="0"/>
        <w:spacing w:line="578" w:lineRule="exact"/>
        <w:ind w:firstLine="640" w:firstLineChars="200"/>
        <w:contextualSpacing/>
        <w:jc w:val="left"/>
        <w:rPr>
          <w:rFonts w:hint="eastAsia" w:ascii="Times New Roman" w:hAnsi="Times New Roman" w:eastAsia="仿宋_GB2312" w:cs="仿宋_GB2312"/>
          <w:kern w:val="0"/>
          <w:sz w:val="32"/>
          <w:szCs w:val="32"/>
          <w:shd w:val="clear" w:color="auto" w:fill="FFFFFF"/>
          <w:lang w:val="zh-CN"/>
        </w:rPr>
      </w:pP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2．资金到位。各级科研项目经费按照相关管理办法，年度经费及时足额到位，到位率100%。</w:t>
      </w:r>
    </w:p>
    <w:p>
      <w:pPr>
        <w:pStyle w:val="16"/>
        <w:keepNext w:val="0"/>
        <w:keepLines w:val="0"/>
        <w:pageBreakBefore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eastAsia="zh-CN"/>
        </w:rPr>
        <w:t>3．资金使用。</w:t>
      </w:r>
    </w:p>
    <w:p>
      <w:pPr>
        <w:pStyle w:val="16"/>
        <w:keepNext w:val="0"/>
        <w:keepLines w:val="0"/>
        <w:pageBreakBefore w:val="0"/>
        <w:widowControl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方正仿宋简体" w:cs="方正仿宋简体"/>
          <w:sz w:val="33"/>
          <w:szCs w:val="33"/>
          <w:lang w:val="zh-CN" w:eastAsia="zh-CN"/>
        </w:rPr>
      </w:pPr>
      <w:r>
        <w:rPr>
          <w:rFonts w:hint="eastAsia" w:ascii="Times New Roman" w:hAnsi="Times New Roman" w:eastAsia="仿宋_GB2312" w:cs="仿宋_GB2312"/>
          <w:sz w:val="32"/>
          <w:szCs w:val="32"/>
          <w:lang w:val="zh-CN" w:eastAsia="zh-CN"/>
        </w:rPr>
        <w:t>当年专项资金到位经费</w:t>
      </w:r>
      <w:r>
        <w:rPr>
          <w:rFonts w:hint="eastAsia" w:ascii="Times New Roman" w:hAnsi="Times New Roman" w:eastAsia="仿宋_GB2312" w:cs="仿宋_GB2312"/>
          <w:sz w:val="32"/>
          <w:szCs w:val="32"/>
          <w:lang w:val="en-US" w:eastAsia="zh-CN"/>
        </w:rPr>
        <w:t>453.71</w:t>
      </w:r>
      <w:r>
        <w:rPr>
          <w:rFonts w:hint="eastAsia" w:ascii="Times New Roman" w:hAnsi="Times New Roman" w:eastAsia="仿宋_GB2312" w:cs="仿宋_GB2312"/>
          <w:sz w:val="32"/>
          <w:szCs w:val="32"/>
          <w:lang w:val="zh-CN" w:eastAsia="zh-CN"/>
        </w:rPr>
        <w:t>万元，支出453.71元，执行率</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lang w:val="zh-CN" w:eastAsia="zh-CN"/>
        </w:rPr>
        <w:t>%。资金支付合规合法，资金支付与预算相符。</w:t>
      </w:r>
    </w:p>
    <w:p>
      <w:pPr>
        <w:keepNext w:val="0"/>
        <w:keepLines w:val="0"/>
        <w:pageBreakBefore w:val="0"/>
        <w:kinsoku/>
        <w:wordWrap/>
        <w:overflowPunct/>
        <w:topLinePunct w:val="0"/>
        <w:autoSpaceDE/>
        <w:autoSpaceDN/>
        <w:bidi w:val="0"/>
        <w:adjustRightInd w:val="0"/>
        <w:snapToGrid w:val="0"/>
        <w:spacing w:line="305" w:lineRule="auto"/>
        <w:ind w:left="0" w:leftChars="0" w:firstLine="720"/>
        <w:jc w:val="both"/>
        <w:textAlignment w:val="auto"/>
        <w:rPr>
          <w:rFonts w:hint="eastAsia" w:ascii="Times New Roman" w:hAnsi="Times New Roman" w:eastAsia="楷体_GB2312"/>
          <w:b/>
          <w:sz w:val="32"/>
          <w:szCs w:val="32"/>
          <w:lang w:val="zh-CN" w:eastAsia="zh-CN"/>
        </w:rPr>
      </w:pPr>
      <w:r>
        <w:rPr>
          <w:rFonts w:hint="eastAsia" w:ascii="Times New Roman" w:hAnsi="Times New Roman" w:eastAsia="楷体_GB2312"/>
          <w:b/>
          <w:sz w:val="32"/>
          <w:szCs w:val="32"/>
          <w:lang w:val="zh-CN" w:eastAsia="zh-CN"/>
        </w:rPr>
        <w:t>（三）项目财务管理情况。</w:t>
      </w:r>
    </w:p>
    <w:p>
      <w:pPr>
        <w:pStyle w:val="16"/>
        <w:keepNext w:val="0"/>
        <w:keepLines w:val="0"/>
        <w:pageBreakBefore w:val="0"/>
        <w:widowControl w:val="0"/>
        <w:kinsoku/>
        <w:wordWrap/>
        <w:overflowPunct/>
        <w:topLinePunct w:val="0"/>
        <w:autoSpaceDE/>
        <w:autoSpaceDN/>
        <w:bidi w:val="0"/>
        <w:adjustRightInd w:val="0"/>
        <w:snapToGrid w:val="0"/>
        <w:spacing w:after="0" w:line="305" w:lineRule="auto"/>
        <w:ind w:left="0" w:leftChars="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val="zh-CN" w:eastAsia="zh-CN"/>
        </w:rPr>
        <w:t>我院按照国家财经法规及科研经费管理制度和规定建立健全了财务管理制度，对项目经费的管理、核算及支出审批权限等实施了有效的内部控制，严格按照财务管理制度实施经费开支审批程序进行经费开支，项目经费支出均由财务科与分管领导进行审核把关。财务处理报账及时、会计核算规范。同时妥善保管财务档案及资产，每年接受相关部门的审计监督。</w:t>
      </w:r>
    </w:p>
    <w:p>
      <w:pPr>
        <w:adjustRightInd w:val="0"/>
        <w:snapToGrid w:val="0"/>
        <w:spacing w:line="578" w:lineRule="exact"/>
        <w:ind w:firstLine="720"/>
        <w:rPr>
          <w:rFonts w:ascii="Times New Roman" w:hAnsi="Times New Roman" w:eastAsia="仿宋_GB2312" w:cs="仿宋_GB2312"/>
          <w:kern w:val="0"/>
          <w:sz w:val="32"/>
          <w:szCs w:val="32"/>
          <w:shd w:val="clear" w:color="auto" w:fill="FFFFFF"/>
          <w:lang w:val="zh-CN"/>
        </w:rPr>
      </w:pPr>
      <w:r>
        <w:rPr>
          <w:rFonts w:hint="eastAsia" w:ascii="Times New Roman" w:hAnsi="Times New Roman" w:eastAsia="黑体"/>
          <w:sz w:val="32"/>
          <w:szCs w:val="32"/>
        </w:rPr>
        <w:t>三、项目实施及管理情况</w:t>
      </w:r>
    </w:p>
    <w:p>
      <w:pPr>
        <w:adjustRightInd w:val="0"/>
        <w:snapToGrid w:val="0"/>
        <w:spacing w:line="600" w:lineRule="exact"/>
        <w:ind w:firstLine="643"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楷体_GB2312"/>
          <w:b/>
          <w:sz w:val="32"/>
          <w:szCs w:val="32"/>
          <w:lang w:val="zh-CN"/>
        </w:rPr>
        <w:t>（一）项目组织架构及实施流程。</w:t>
      </w:r>
      <w:r>
        <w:rPr>
          <w:rFonts w:hint="eastAsia" w:ascii="Times New Roman" w:hAnsi="Times New Roman" w:eastAsia="仿宋_GB2312" w:cs="仿宋_GB2312"/>
          <w:kern w:val="2"/>
          <w:sz w:val="32"/>
          <w:szCs w:val="32"/>
          <w:lang w:val="zh-CN" w:eastAsia="zh-CN" w:bidi="ar-SA"/>
        </w:rPr>
        <w:t>我院科研项目管理的程序是：项目申报(根据相关指南)-签订项目任务合同书-组织实施-验收-归档，在此过程中，由分管院长-所在业务研究所进行管理，科技管理科-财务科进行协助，党办、科技管理科、财务科进行监督。</w:t>
      </w:r>
    </w:p>
    <w:p>
      <w:pPr>
        <w:adjustRightInd w:val="0"/>
        <w:snapToGrid w:val="0"/>
        <w:spacing w:line="600" w:lineRule="exact"/>
        <w:ind w:firstLine="643"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楷体_GB2312"/>
          <w:b/>
          <w:sz w:val="32"/>
          <w:szCs w:val="32"/>
          <w:lang w:val="zh-CN"/>
        </w:rPr>
        <w:t>（二）项目管理情况。</w:t>
      </w:r>
      <w:r>
        <w:rPr>
          <w:rFonts w:hint="eastAsia" w:ascii="Times New Roman" w:hAnsi="Times New Roman" w:eastAsia="仿宋_GB2312" w:cs="仿宋_GB2312"/>
          <w:kern w:val="2"/>
          <w:sz w:val="32"/>
          <w:szCs w:val="32"/>
          <w:lang w:val="zh-CN" w:eastAsia="zh-CN" w:bidi="ar-SA"/>
        </w:rPr>
        <w:t>本单位采用以项目负责人为主体的项目负责制，以项目主持人负责制和单位法人负责制相结合的科研项目管理体制进行科研项目的管理，责任主体为项目主持人，采用项目任务合同书的方式进行约定，项目按项目任务合同书约定的研究内容和任务指标组织实施。项目研究过程中发生的物资采购按政府采购办法或者按《攀枝花市农林科学研究院非政府采购管理办法》执行，产生的固定资产及时纳入固定资产管理。</w:t>
      </w:r>
    </w:p>
    <w:p>
      <w:pPr>
        <w:adjustRightInd w:val="0"/>
        <w:snapToGrid w:val="0"/>
        <w:spacing w:line="600" w:lineRule="exact"/>
        <w:ind w:firstLine="643"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楷体_GB2312"/>
          <w:b/>
          <w:sz w:val="32"/>
          <w:szCs w:val="32"/>
          <w:lang w:val="zh-CN"/>
        </w:rPr>
        <w:t>（三）项目监管情况。</w:t>
      </w:r>
      <w:r>
        <w:rPr>
          <w:rFonts w:hint="eastAsia" w:ascii="Times New Roman" w:hAnsi="Times New Roman" w:eastAsia="仿宋_GB2312" w:cs="仿宋_GB2312"/>
          <w:kern w:val="2"/>
          <w:sz w:val="32"/>
          <w:szCs w:val="32"/>
          <w:lang w:val="zh-CN" w:eastAsia="zh-CN" w:bidi="ar-SA"/>
        </w:rPr>
        <w:t>本院科研项目管理采用目标管理和过程管理相结合的方式进行监管，每年对到期项目及时督促办理项目验收手续，同时在项目实施过程中，检查组按当年在研项目5-10%的比例对项目实施情况进行抽查，检查组由科技科、财务科、监察科人员组成，检查方法是对项目立项以来的项目实施情况进行检查，包括项目实施进度、经费使用情况、物资采购和使用情况等。同时市纪检组不定期给予检查，2022年度无违规情况。</w:t>
      </w:r>
    </w:p>
    <w:p>
      <w:pPr>
        <w:adjustRightInd w:val="0"/>
        <w:snapToGrid w:val="0"/>
        <w:spacing w:line="578" w:lineRule="exact"/>
        <w:ind w:firstLine="720"/>
        <w:rPr>
          <w:rFonts w:ascii="Times New Roman" w:hAnsi="Times New Roman"/>
          <w:sz w:val="32"/>
          <w:szCs w:val="32"/>
          <w:lang w:val="zh-CN"/>
        </w:rPr>
      </w:pPr>
      <w:r>
        <w:rPr>
          <w:rFonts w:hint="eastAsia" w:ascii="Times New Roman" w:hAnsi="Times New Roman" w:eastAsia="黑体"/>
          <w:sz w:val="32"/>
          <w:szCs w:val="32"/>
        </w:rPr>
        <w:t>四、项目绩效情况</w:t>
      </w:r>
      <w:r>
        <w:rPr>
          <w:rFonts w:hint="eastAsia" w:ascii="Times New Roman" w:hAnsi="Times New Roman"/>
          <w:sz w:val="32"/>
          <w:szCs w:val="32"/>
          <w:lang w:val="zh-CN"/>
        </w:rPr>
        <w:tab/>
      </w:r>
    </w:p>
    <w:p>
      <w:pPr>
        <w:adjustRightInd w:val="0"/>
        <w:snapToGrid w:val="0"/>
        <w:spacing w:line="578"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（一）项目完成情况。</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分项目类别对应项目安排时确定的绩效目标完成情况进行分析，包括项目完成数量、质量、时效、成本等情况，资金结余情况，违规记录等，对照项目计划完成目标对截止评价时点的任务量完成、质量标准、进度计划、成本控制目标的实现程度进行评价，并进行分析说明。</w:t>
      </w:r>
    </w:p>
    <w:p>
      <w:pPr>
        <w:adjustRightInd w:val="0"/>
        <w:snapToGrid w:val="0"/>
        <w:spacing w:line="578"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（二）项目效益情况。</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1</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2022年奶油果商品果（单果150克以上、果面色泽均匀、无明显斑痕）的鲜销市场价均价15元/斤，且市场供不应求，其经济效益良好；现全市奶油果栽培面积达5000亩，新的产业主体可能出现，水果产业结构更为优化；奶油果树形高大四季常青，果实营养健康，与第三产业融合发展，相互促进，二者间的可持续效益日趋明显。区域内服务对象满意度≥90%，今年已有农户主动咨询并开始自发种植奶油果。</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 xml:space="preserve"> 2</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项目实施种植的块菌苗投产后将实现树上和树下的双重效益，基地建成后5-8年进入丰产期，以后年亩产值1万元以上，块菌苗的种植不仅能让农民增收致富而且可以绿化荒山，恢复生态，生态修复，绿化环境，生态发展和产业发展可持续性强；项目建设期间，为实施地农民提供就业，增加劳动收入，提高当地农民对块菌的认知率至70%，种植技术指导服务对象满意度98%。</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3</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晚熟芒果新品种取得重大突破。选育出了“攀育2号”“攀育3号”“攀育5号”“攀育8号”等4个有自主知识产权的晚熟芒果新品种，有效解决了我市晚熟芒果“凯特”品种一枝独秀，品种结构单一，抗风险能力弱，一旦发生品种退化或重大病虫害将对产业健康持续发展带来极大不利影响等紧迫问题。同时在我市仁和区、盐边县、米易县推广种植“攀育2号”“热品16号”等优良适宜芒果品种4.5万余亩。</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4</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热带亚热带水果示范推广成效显著。在米易县海塔村、棕树弯村、仁和区平地镇双龙潭社等地区示范推广了“红宝石”樱桃100亩；在大田镇示范推广了“紫美”石榴500亩；在盐边县红格镇红格村、大龙潭裕民村示范推广“哈斯”油梨面积4亩。</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5</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蔬菜杂交育种取得重大进展。选育出有自主知识产权的丝瓜杂交品种2个，在我市蔬菜主产区加大适宜品种示范推广，在米易县普威镇新舟村示范推广设施番茄新品种200亩。</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 xml:space="preserve"> 6</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粮经复合模式初见成效。积极探索经果林下粮食作物生产模式，为我市粮食面积扩量增收和提高土壤质量提供科技支撑。初步筛选出适宜芒果林下种植的大豆品种6个，绿肥新品种5个，适宜中高山地区种植玉米新品种4个。在大龙潭干坝子村、平地镇波西村等建立玉米新品种示范基地4个，面积20亩；在米易县草坝村和仁和区大箐沟建立了芒果林下绿肥种植试验示范基地2个，示范推广芒果林下种植绿肥面积125亩。</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7</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平台建设进一步完善。促进金沙江干热河谷区主要热带果树种质资源的挖掘利用与新品种选育进程，提高相关野外作物保护利用与动态监测与营养调控水平，推动我国热带作物选育种工作的向前发展，推进热作产业的持续健康发展意义重大，同时基础设施保障和科技创新能力得到进一步的提升。节能减排和低碳环保水平得到进一步的提升；项目可持续发挥作用服务期限大于10年以上。</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 xml:space="preserve"> 8</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zh-CN" w:eastAsia="zh-CN" w:bidi="ar-SA"/>
        </w:rPr>
        <w:t>满意度指标完成情况。通过项目建设，增强了科技创新能力，提高了科技人员的业务水平，增强了服务三农的能力，提升了服务对象(企业、农民)的满意度，从事创新科技人员获得感进一步增强，满意度进一步提升。全年累计示范推广新品种、新技术50余项，累计推广面积30余万亩，产生效益4亿多元，有效地支撑了我市特色农业产业的稳定健康发展，社会效益显著，群众满意度高。</w:t>
      </w:r>
    </w:p>
    <w:p>
      <w:pPr>
        <w:adjustRightInd w:val="0"/>
        <w:snapToGrid w:val="0"/>
        <w:spacing w:line="578" w:lineRule="exact"/>
        <w:ind w:firstLine="720"/>
        <w:rPr>
          <w:rFonts w:ascii="Times New Roman" w:hAnsi="Times New Roman" w:eastAsia="黑体"/>
          <w:sz w:val="32"/>
          <w:szCs w:val="32"/>
        </w:rPr>
      </w:pPr>
      <w:r>
        <w:rPr>
          <w:rFonts w:hint="eastAsia" w:ascii="Times New Roman" w:hAnsi="Times New Roman" w:eastAsia="黑体"/>
          <w:sz w:val="32"/>
          <w:szCs w:val="32"/>
        </w:rPr>
        <w:t>五、评价结论及建议</w:t>
      </w:r>
    </w:p>
    <w:p>
      <w:pPr>
        <w:adjustRightInd w:val="0"/>
        <w:snapToGrid w:val="0"/>
        <w:spacing w:line="578" w:lineRule="exact"/>
        <w:ind w:firstLine="720"/>
        <w:rPr>
          <w:rFonts w:ascii="Times New Roman" w:hAnsi="Times New Roman" w:eastAsia="楷体_GB2312"/>
          <w:b/>
          <w:sz w:val="32"/>
          <w:szCs w:val="32"/>
          <w:lang w:val="zh-CN"/>
        </w:rPr>
      </w:pPr>
      <w:r>
        <w:rPr>
          <w:rFonts w:hint="eastAsia" w:ascii="Times New Roman" w:hAnsi="Times New Roman" w:eastAsia="楷体_GB2312"/>
          <w:b/>
          <w:sz w:val="32"/>
          <w:szCs w:val="32"/>
          <w:lang w:val="zh-CN"/>
        </w:rPr>
        <w:t>（一）评价结论。</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2022年全面完成了年度目标任务，验收15项，申报成果奖励</w:t>
      </w:r>
      <w:r>
        <w:rPr>
          <w:rFonts w:hint="eastAsia" w:ascii="Times New Roman" w:hAnsi="Times New Roman" w:eastAsia="仿宋_GB2312" w:cs="仿宋_GB2312"/>
          <w:kern w:val="2"/>
          <w:sz w:val="32"/>
          <w:szCs w:val="32"/>
          <w:lang w:val="en-US" w:eastAsia="zh-CN" w:bidi="ar-SA"/>
        </w:rPr>
        <w:t>3项，</w:t>
      </w:r>
      <w:r>
        <w:rPr>
          <w:rFonts w:hint="eastAsia" w:ascii="Times New Roman" w:hAnsi="Times New Roman" w:eastAsia="仿宋_GB2312" w:cs="仿宋_GB2312"/>
          <w:kern w:val="2"/>
          <w:sz w:val="32"/>
          <w:szCs w:val="32"/>
          <w:lang w:val="zh-CN" w:eastAsia="zh-CN" w:bidi="ar-SA"/>
        </w:rPr>
        <w:t>取得1项新的科研成果，对区域主导产业起到了引领和科技支撑作用。</w:t>
      </w:r>
    </w:p>
    <w:p>
      <w:pPr>
        <w:adjustRightInd w:val="0"/>
        <w:snapToGrid w:val="0"/>
        <w:spacing w:line="578" w:lineRule="exact"/>
        <w:ind w:firstLine="720"/>
        <w:rPr>
          <w:rFonts w:hint="eastAsia" w:ascii="Times New Roman" w:hAnsi="Times New Roman" w:eastAsia="楷体_GB2312"/>
          <w:b/>
          <w:sz w:val="32"/>
          <w:szCs w:val="32"/>
          <w:lang w:val="zh-CN" w:eastAsia="zh-CN"/>
        </w:rPr>
      </w:pPr>
      <w:r>
        <w:rPr>
          <w:rFonts w:hint="eastAsia" w:ascii="Times New Roman" w:hAnsi="Times New Roman" w:eastAsia="楷体_GB2312"/>
          <w:b/>
          <w:sz w:val="32"/>
          <w:szCs w:val="32"/>
          <w:lang w:val="zh-CN" w:eastAsia="zh-CN"/>
        </w:rPr>
        <w:t>（二）存在的问题。</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0"/>
          <w:sz w:val="32"/>
          <w:szCs w:val="32"/>
          <w:shd w:val="clear" w:color="auto" w:fill="FFFFFF"/>
          <w:lang w:val="en-US" w:eastAsia="zh-CN"/>
        </w:rPr>
        <w:t xml:space="preserve"> </w:t>
      </w:r>
      <w:r>
        <w:rPr>
          <w:rFonts w:hint="eastAsia" w:ascii="Times New Roman" w:hAnsi="Times New Roman" w:eastAsia="仿宋_GB2312" w:cs="仿宋_GB2312"/>
          <w:kern w:val="2"/>
          <w:sz w:val="32"/>
          <w:szCs w:val="32"/>
          <w:lang w:val="en-US" w:eastAsia="zh-CN" w:bidi="ar-SA"/>
        </w:rPr>
        <w:t>1.科研和平台运转缺乏经费保障。一是育种攻关缺乏持续稳定的专项经费保障。二是科研条件平台运转缺乏经费保障。</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科技创新与服务能力有待提高。一是引进急需高层次人才困难，科研人员职称晋升难度大。二是育种攻关与关键核心技术创新能力还有差距，科技支撑特色农业产业发展不够。三是科技服务能力有待进一步加强，单位社会影响力有待进一步提高。</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en-US" w:eastAsia="zh-CN" w:bidi="ar-SA"/>
        </w:rPr>
        <w:t>3.科技交流合作还需加强。一是作为创新主体的农业企业小而弱，主体作用体现不充分，产学研创新合作联盟难于建立。二是对外科技交流合作力度还不够，特别是知名专家、知名院所，借智借力效果还不太明显。</w:t>
      </w:r>
      <w:r>
        <w:rPr>
          <w:rFonts w:hint="eastAsia" w:ascii="Times New Roman" w:hAnsi="Times New Roman" w:eastAsia="仿宋_GB2312" w:cs="仿宋_GB2312"/>
          <w:kern w:val="2"/>
          <w:sz w:val="32"/>
          <w:szCs w:val="32"/>
          <w:lang w:val="zh-CN" w:eastAsia="zh-CN" w:bidi="ar-SA"/>
        </w:rPr>
        <w:tab/>
      </w:r>
    </w:p>
    <w:p>
      <w:pPr>
        <w:adjustRightInd w:val="0"/>
        <w:snapToGrid w:val="0"/>
        <w:spacing w:line="578" w:lineRule="exact"/>
        <w:ind w:firstLine="720"/>
        <w:rPr>
          <w:rFonts w:hint="eastAsia" w:ascii="Times New Roman" w:hAnsi="Times New Roman" w:eastAsia="楷体_GB2312"/>
          <w:b/>
          <w:sz w:val="32"/>
          <w:szCs w:val="32"/>
          <w:lang w:val="zh-CN" w:eastAsia="zh-CN"/>
        </w:rPr>
      </w:pPr>
      <w:r>
        <w:rPr>
          <w:rFonts w:hint="eastAsia" w:ascii="Times New Roman" w:hAnsi="Times New Roman" w:eastAsia="楷体_GB2312"/>
          <w:b/>
          <w:sz w:val="32"/>
          <w:szCs w:val="32"/>
          <w:lang w:val="zh-CN" w:eastAsia="zh-CN"/>
        </w:rPr>
        <w:t>（三）相关建议。</w:t>
      </w:r>
    </w:p>
    <w:p>
      <w:pPr>
        <w:adjustRightInd w:val="0"/>
        <w:snapToGrid w:val="0"/>
        <w:spacing w:line="600" w:lineRule="exact"/>
        <w:ind w:firstLine="640" w:firstLineChars="200"/>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建议增加对科研项目绩效评价的程序、方法、内容等方面的培训，提升科研人员项目绩效评价的科学性和准确性。完善各级部门绩效评级体系，使评价标准统一化，减轻基层部门的工作量。</w:t>
      </w:r>
    </w:p>
    <w:p>
      <w:pPr>
        <w:widowControl/>
        <w:adjustRightInd w:val="0"/>
        <w:snapToGrid w:val="0"/>
        <w:spacing w:line="578" w:lineRule="exact"/>
        <w:ind w:firstLine="640" w:firstLineChars="200"/>
        <w:contextualSpacing/>
        <w:jc w:val="left"/>
        <w:rPr>
          <w:rStyle w:val="32"/>
          <w:rFonts w:ascii="Times New Roman" w:hAnsi="Times New Roman" w:eastAsia="黑体"/>
          <w:b w:val="0"/>
          <w:sz w:val="32"/>
          <w:szCs w:val="32"/>
        </w:rPr>
      </w:pPr>
    </w:p>
    <w:p>
      <w:pPr>
        <w:pStyle w:val="2"/>
        <w:rPr>
          <w:rStyle w:val="32"/>
          <w:rFonts w:ascii="Times New Roman" w:hAnsi="Times New Roman" w:eastAsia="黑体"/>
          <w:b w:val="0"/>
          <w:sz w:val="32"/>
          <w:szCs w:val="32"/>
        </w:rPr>
      </w:pPr>
    </w:p>
    <w:p>
      <w:pPr>
        <w:pStyle w:val="3"/>
        <w:rPr>
          <w:rFonts w:ascii="Times New Roman" w:hAnsi="Times New Roman"/>
        </w:rPr>
      </w:pPr>
    </w:p>
    <w:p>
      <w:pPr>
        <w:widowControl/>
        <w:jc w:val="left"/>
        <w:rPr>
          <w:rStyle w:val="32"/>
          <w:rFonts w:ascii="Times New Roman" w:hAnsi="Times New Roman" w:eastAsia="黑体"/>
          <w:b w:val="0"/>
        </w:rPr>
      </w:pPr>
    </w:p>
    <w:p>
      <w:pPr>
        <w:pStyle w:val="2"/>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pStyle w:val="3"/>
        <w:rPr>
          <w:rStyle w:val="32"/>
          <w:rFonts w:ascii="Times New Roman" w:hAnsi="Times New Roman" w:eastAsia="黑体"/>
          <w:b w:val="0"/>
        </w:rPr>
      </w:pPr>
    </w:p>
    <w:p>
      <w:pPr>
        <w:spacing w:line="600" w:lineRule="exact"/>
        <w:jc w:val="center"/>
        <w:outlineLvl w:val="0"/>
        <w:rPr>
          <w:rFonts w:ascii="Times New Roman" w:hAnsi="Times New Roman" w:eastAsia="仿宋"/>
        </w:rPr>
      </w:pPr>
      <w:bookmarkStart w:id="53" w:name="_Toc15396618"/>
      <w:r>
        <w:rPr>
          <w:rFonts w:hint="eastAsia" w:ascii="Times New Roman" w:hAnsi="Times New Roman" w:eastAsia="黑体"/>
          <w:sz w:val="44"/>
          <w:szCs w:val="44"/>
        </w:rPr>
        <w:t>第</w:t>
      </w:r>
      <w:r>
        <w:rPr>
          <w:rStyle w:val="32"/>
          <w:rFonts w:hint="eastAsia" w:ascii="Times New Roman" w:hAnsi="Times New Roman" w:eastAsia="黑体"/>
          <w:b w:val="0"/>
        </w:rPr>
        <w:t>五部分 附表</w:t>
      </w:r>
      <w:bookmarkEnd w:id="51"/>
      <w:bookmarkEnd w:id="53"/>
      <w:bookmarkStart w:id="54" w:name="_Toc15396619"/>
    </w:p>
    <w:p>
      <w:pPr>
        <w:pStyle w:val="5"/>
        <w:rPr>
          <w:rFonts w:hint="eastAsia" w:ascii="仿宋_GB2312" w:hAnsi="仿宋_GB2312" w:eastAsia="仿宋_GB2312" w:cs="仿宋_GB2312"/>
        </w:rPr>
      </w:pPr>
      <w:r>
        <w:rPr>
          <w:rFonts w:hint="eastAsia" w:ascii="仿宋_GB2312" w:hAnsi="仿宋_GB2312" w:eastAsia="仿宋_GB2312" w:cs="仿宋_GB2312"/>
          <w:b w:val="0"/>
        </w:rPr>
        <w:t>一、收</w:t>
      </w:r>
      <w:r>
        <w:rPr>
          <w:rStyle w:val="33"/>
          <w:rFonts w:hint="eastAsia" w:ascii="仿宋_GB2312" w:hAnsi="仿宋_GB2312" w:eastAsia="仿宋_GB2312" w:cs="仿宋_GB2312"/>
          <w:b w:val="0"/>
          <w:bCs w:val="0"/>
        </w:rPr>
        <w:t>入支出决算总表</w:t>
      </w:r>
      <w:bookmarkEnd w:id="54"/>
    </w:p>
    <w:p>
      <w:pPr>
        <w:pStyle w:val="5"/>
        <w:rPr>
          <w:rFonts w:hint="eastAsia" w:ascii="仿宋_GB2312" w:hAnsi="仿宋_GB2312" w:eastAsia="仿宋_GB2312" w:cs="仿宋_GB2312"/>
        </w:rPr>
      </w:pPr>
      <w:bookmarkStart w:id="55" w:name="_Toc15396620"/>
      <w:r>
        <w:rPr>
          <w:rFonts w:hint="eastAsia" w:ascii="仿宋_GB2312" w:hAnsi="仿宋_GB2312" w:eastAsia="仿宋_GB2312" w:cs="仿宋_GB2312"/>
          <w:b w:val="0"/>
        </w:rPr>
        <w:t>二、收</w:t>
      </w:r>
      <w:r>
        <w:rPr>
          <w:rStyle w:val="33"/>
          <w:rFonts w:hint="eastAsia" w:ascii="仿宋_GB2312" w:hAnsi="仿宋_GB2312" w:eastAsia="仿宋_GB2312" w:cs="仿宋_GB2312"/>
          <w:b w:val="0"/>
          <w:bCs w:val="0"/>
        </w:rPr>
        <w:t>入决算表</w:t>
      </w:r>
      <w:bookmarkEnd w:id="55"/>
    </w:p>
    <w:p>
      <w:pPr>
        <w:pStyle w:val="5"/>
        <w:rPr>
          <w:rFonts w:hint="eastAsia" w:ascii="仿宋_GB2312" w:hAnsi="仿宋_GB2312" w:eastAsia="仿宋_GB2312" w:cs="仿宋_GB2312"/>
        </w:rPr>
      </w:pPr>
      <w:bookmarkStart w:id="56" w:name="_Toc15396621"/>
      <w:r>
        <w:rPr>
          <w:rStyle w:val="33"/>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33"/>
          <w:rFonts w:hint="eastAsia" w:ascii="仿宋_GB2312" w:hAnsi="仿宋_GB2312" w:eastAsia="仿宋_GB2312" w:cs="仿宋_GB2312"/>
          <w:b w:val="0"/>
          <w:bCs w:val="0"/>
        </w:rPr>
        <w:t>出决算表</w:t>
      </w:r>
      <w:bookmarkEnd w:id="56"/>
    </w:p>
    <w:p>
      <w:pPr>
        <w:pStyle w:val="5"/>
        <w:rPr>
          <w:rFonts w:hint="eastAsia" w:ascii="仿宋_GB2312" w:hAnsi="仿宋_GB2312" w:eastAsia="仿宋_GB2312" w:cs="仿宋_GB2312"/>
          <w:b w:val="0"/>
        </w:rPr>
      </w:pPr>
      <w:bookmarkStart w:id="57" w:name="_Toc15396622"/>
      <w:r>
        <w:rPr>
          <w:rStyle w:val="33"/>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33"/>
          <w:rFonts w:hint="eastAsia" w:ascii="仿宋_GB2312" w:hAnsi="仿宋_GB2312" w:eastAsia="仿宋_GB2312" w:cs="仿宋_GB2312"/>
          <w:b w:val="0"/>
          <w:bCs w:val="0"/>
        </w:rPr>
        <w:t>政拨款收入支出决算总表</w:t>
      </w:r>
      <w:bookmarkEnd w:id="57"/>
    </w:p>
    <w:p>
      <w:pPr>
        <w:pStyle w:val="5"/>
        <w:rPr>
          <w:rStyle w:val="33"/>
          <w:rFonts w:hint="eastAsia" w:ascii="仿宋_GB2312" w:hAnsi="仿宋_GB2312" w:eastAsia="仿宋_GB2312" w:cs="仿宋_GB2312"/>
          <w:b w:val="0"/>
          <w:bCs w:val="0"/>
        </w:rPr>
      </w:pPr>
      <w:bookmarkStart w:id="58" w:name="_Toc15396623"/>
      <w:r>
        <w:rPr>
          <w:rStyle w:val="33"/>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33"/>
          <w:rFonts w:hint="eastAsia" w:ascii="仿宋_GB2312" w:hAnsi="仿宋_GB2312" w:eastAsia="仿宋_GB2312" w:cs="仿宋_GB2312"/>
          <w:b w:val="0"/>
          <w:bCs w:val="0"/>
        </w:rPr>
        <w:t>政拨款支出决算明细表</w:t>
      </w:r>
      <w:bookmarkEnd w:id="58"/>
      <w:bookmarkStart w:id="59" w:name="_Toc15396624"/>
    </w:p>
    <w:p>
      <w:pPr>
        <w:pStyle w:val="5"/>
        <w:rPr>
          <w:rFonts w:hint="eastAsia" w:ascii="仿宋_GB2312" w:hAnsi="仿宋_GB2312" w:eastAsia="仿宋_GB2312" w:cs="仿宋_GB2312"/>
        </w:rPr>
      </w:pPr>
      <w:r>
        <w:rPr>
          <w:rStyle w:val="33"/>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33"/>
          <w:rFonts w:hint="eastAsia" w:ascii="仿宋_GB2312" w:hAnsi="仿宋_GB2312" w:eastAsia="仿宋_GB2312" w:cs="仿宋_GB2312"/>
          <w:b w:val="0"/>
          <w:bCs w:val="0"/>
        </w:rPr>
        <w:t>般公共预算财政拨款支出决算表</w:t>
      </w:r>
      <w:bookmarkEnd w:id="59"/>
    </w:p>
    <w:p>
      <w:pPr>
        <w:pStyle w:val="5"/>
        <w:rPr>
          <w:rFonts w:hint="eastAsia" w:ascii="仿宋_GB2312" w:hAnsi="仿宋_GB2312" w:eastAsia="仿宋_GB2312" w:cs="仿宋_GB2312"/>
        </w:rPr>
      </w:pPr>
      <w:bookmarkStart w:id="60" w:name="_Toc15396625"/>
      <w:r>
        <w:rPr>
          <w:rStyle w:val="33"/>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33"/>
          <w:rFonts w:hint="eastAsia" w:ascii="仿宋_GB2312" w:hAnsi="仿宋_GB2312" w:eastAsia="仿宋_GB2312" w:cs="仿宋_GB2312"/>
          <w:b w:val="0"/>
          <w:bCs w:val="0"/>
        </w:rPr>
        <w:t>般公共预算财政拨款支出决算明细表</w:t>
      </w:r>
      <w:bookmarkEnd w:id="60"/>
    </w:p>
    <w:p>
      <w:pPr>
        <w:pStyle w:val="5"/>
        <w:rPr>
          <w:rFonts w:hint="eastAsia" w:ascii="仿宋_GB2312" w:hAnsi="仿宋_GB2312" w:eastAsia="仿宋_GB2312" w:cs="仿宋_GB2312"/>
        </w:rPr>
      </w:pPr>
      <w:bookmarkStart w:id="61" w:name="_Toc15396626"/>
      <w:r>
        <w:rPr>
          <w:rStyle w:val="33"/>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33"/>
          <w:rFonts w:hint="eastAsia" w:ascii="仿宋_GB2312" w:hAnsi="仿宋_GB2312" w:eastAsia="仿宋_GB2312" w:cs="仿宋_GB2312"/>
          <w:b w:val="0"/>
          <w:bCs w:val="0"/>
        </w:rPr>
        <w:t>般公共预算财政拨款基本支出决算表</w:t>
      </w:r>
      <w:bookmarkEnd w:id="61"/>
    </w:p>
    <w:p>
      <w:pPr>
        <w:pStyle w:val="5"/>
        <w:rPr>
          <w:rFonts w:hint="eastAsia" w:ascii="仿宋_GB2312" w:hAnsi="仿宋_GB2312" w:eastAsia="仿宋_GB2312" w:cs="仿宋_GB2312"/>
        </w:rPr>
      </w:pPr>
      <w:bookmarkStart w:id="62" w:name="_Toc15396627"/>
      <w:r>
        <w:rPr>
          <w:rStyle w:val="33"/>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33"/>
          <w:rFonts w:hint="eastAsia" w:ascii="仿宋_GB2312" w:hAnsi="仿宋_GB2312" w:eastAsia="仿宋_GB2312" w:cs="仿宋_GB2312"/>
          <w:b w:val="0"/>
          <w:bCs w:val="0"/>
        </w:rPr>
        <w:t>般公共预算财政拨款项目支出决算表</w:t>
      </w:r>
      <w:bookmarkEnd w:id="62"/>
    </w:p>
    <w:p>
      <w:pPr>
        <w:pStyle w:val="5"/>
        <w:rPr>
          <w:rFonts w:hint="eastAsia" w:ascii="仿宋_GB2312" w:hAnsi="仿宋_GB2312" w:eastAsia="仿宋_GB2312" w:cs="仿宋_GB2312"/>
        </w:rPr>
      </w:pPr>
      <w:bookmarkStart w:id="63" w:name="_Toc15396628"/>
      <w:r>
        <w:rPr>
          <w:rStyle w:val="33"/>
          <w:rFonts w:hint="eastAsia" w:ascii="仿宋_GB2312" w:hAnsi="仿宋_GB2312" w:eastAsia="仿宋_GB2312" w:cs="仿宋_GB2312"/>
          <w:b w:val="0"/>
          <w:bCs w:val="0"/>
        </w:rPr>
        <w:t>十、</w:t>
      </w:r>
      <w:bookmarkEnd w:id="63"/>
      <w:r>
        <w:rPr>
          <w:rFonts w:hint="eastAsia" w:ascii="仿宋_GB2312" w:hAnsi="仿宋_GB2312" w:eastAsia="仿宋_GB2312" w:cs="仿宋_GB2312"/>
          <w:b w:val="0"/>
        </w:rPr>
        <w:t>政</w:t>
      </w:r>
      <w:r>
        <w:rPr>
          <w:rStyle w:val="33"/>
          <w:rFonts w:hint="eastAsia" w:ascii="仿宋_GB2312" w:hAnsi="仿宋_GB2312" w:eastAsia="仿宋_GB2312" w:cs="仿宋_GB2312"/>
          <w:b w:val="0"/>
          <w:bCs w:val="0"/>
        </w:rPr>
        <w:t>府性基金预算财政拨款收入支出决算表</w:t>
      </w:r>
    </w:p>
    <w:p>
      <w:pPr>
        <w:pStyle w:val="5"/>
        <w:rPr>
          <w:rFonts w:hint="eastAsia" w:ascii="仿宋_GB2312" w:hAnsi="仿宋_GB2312" w:eastAsia="仿宋_GB2312" w:cs="仿宋_GB2312"/>
        </w:rPr>
      </w:pPr>
      <w:bookmarkStart w:id="64" w:name="_Toc15396629"/>
      <w:r>
        <w:rPr>
          <w:rStyle w:val="33"/>
          <w:rFonts w:hint="eastAsia" w:ascii="仿宋_GB2312" w:hAnsi="仿宋_GB2312" w:eastAsia="仿宋_GB2312" w:cs="仿宋_GB2312"/>
          <w:b w:val="0"/>
          <w:bCs w:val="0"/>
        </w:rPr>
        <w:t>十一、</w:t>
      </w:r>
      <w:bookmarkEnd w:id="64"/>
      <w:r>
        <w:rPr>
          <w:rFonts w:hint="eastAsia" w:ascii="仿宋_GB2312" w:hAnsi="仿宋_GB2312" w:eastAsia="仿宋_GB2312" w:cs="仿宋_GB2312"/>
          <w:b w:val="0"/>
        </w:rPr>
        <w:t>国</w:t>
      </w:r>
      <w:r>
        <w:rPr>
          <w:rStyle w:val="33"/>
          <w:rFonts w:hint="eastAsia" w:ascii="仿宋_GB2312" w:hAnsi="仿宋_GB2312" w:eastAsia="仿宋_GB2312" w:cs="仿宋_GB2312"/>
          <w:b w:val="0"/>
          <w:bCs w:val="0"/>
        </w:rPr>
        <w:t>有资本经营预算财政拨款收入支出决算表</w:t>
      </w:r>
    </w:p>
    <w:p>
      <w:pPr>
        <w:pStyle w:val="5"/>
        <w:rPr>
          <w:rFonts w:hint="eastAsia" w:ascii="仿宋_GB2312" w:hAnsi="仿宋_GB2312" w:eastAsia="仿宋_GB2312" w:cs="仿宋_GB2312"/>
        </w:rPr>
      </w:pPr>
      <w:bookmarkStart w:id="65" w:name="_Toc15396630"/>
      <w:r>
        <w:rPr>
          <w:rStyle w:val="33"/>
          <w:rFonts w:hint="eastAsia" w:ascii="仿宋_GB2312" w:hAnsi="仿宋_GB2312" w:eastAsia="仿宋_GB2312" w:cs="仿宋_GB2312"/>
          <w:b w:val="0"/>
          <w:bCs w:val="0"/>
        </w:rPr>
        <w:t>十二、</w:t>
      </w:r>
      <w:bookmarkEnd w:id="65"/>
      <w:r>
        <w:rPr>
          <w:rStyle w:val="33"/>
          <w:rFonts w:hint="eastAsia" w:ascii="仿宋_GB2312" w:hAnsi="仿宋_GB2312" w:eastAsia="仿宋_GB2312" w:cs="仿宋_GB2312"/>
          <w:b w:val="0"/>
          <w:bCs w:val="0"/>
        </w:rPr>
        <w:t>国有资本经营预算财政拨款支出决算表</w:t>
      </w:r>
    </w:p>
    <w:p>
      <w:pPr>
        <w:pStyle w:val="5"/>
        <w:rPr>
          <w:rFonts w:hint="eastAsia" w:ascii="仿宋_GB2312" w:hAnsi="仿宋_GB2312" w:eastAsia="仿宋_GB2312" w:cs="仿宋_GB2312"/>
        </w:rPr>
      </w:pPr>
      <w:bookmarkStart w:id="66" w:name="_Toc15396631"/>
      <w:r>
        <w:rPr>
          <w:rStyle w:val="33"/>
          <w:rFonts w:hint="eastAsia" w:ascii="仿宋_GB2312" w:hAnsi="仿宋_GB2312" w:eastAsia="仿宋_GB2312" w:cs="仿宋_GB2312"/>
          <w:b w:val="0"/>
          <w:bCs w:val="0"/>
        </w:rPr>
        <w:t>十三、</w:t>
      </w:r>
      <w:bookmarkEnd w:id="66"/>
      <w:r>
        <w:rPr>
          <w:rStyle w:val="33"/>
          <w:rFonts w:hint="eastAsia" w:ascii="仿宋_GB2312" w:hAnsi="仿宋_GB2312" w:eastAsia="仿宋_GB2312" w:cs="仿宋_GB2312"/>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D69D6"/>
    <w:multiLevelType w:val="singleLevel"/>
    <w:tmpl w:val="B84D69D6"/>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pPr>
        <w:ind w:left="-10"/>
      </w:pPr>
      <w:rPr>
        <w:rFonts w:hint="eastAsia" w:ascii="黑体" w:hAnsi="黑体" w:eastAsia="黑体" w:cs="黑体"/>
        <w:sz w:val="32"/>
        <w:szCs w:val="32"/>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6EB0602"/>
    <w:multiLevelType w:val="singleLevel"/>
    <w:tmpl w:val="F6EB0602"/>
    <w:lvl w:ilvl="0" w:tentative="0">
      <w:start w:val="1"/>
      <w:numFmt w:val="chineseCounting"/>
      <w:suff w:val="space"/>
      <w:lvlText w:val="第%1部分"/>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8">
    <w:nsid w:val="20F36659"/>
    <w:multiLevelType w:val="singleLevel"/>
    <w:tmpl w:val="20F36659"/>
    <w:lvl w:ilvl="0" w:tentative="0">
      <w:start w:val="2"/>
      <w:numFmt w:val="chineseCounting"/>
      <w:suff w:val="nothing"/>
      <w:lvlText w:val="（%1）"/>
      <w:lvlJc w:val="left"/>
      <w:rPr>
        <w:rFonts w:hint="eastAsia"/>
      </w:rPr>
    </w:lvl>
  </w:abstractNum>
  <w:abstractNum w:abstractNumId="9">
    <w:nsid w:val="7EAA4C41"/>
    <w:multiLevelType w:val="singleLevel"/>
    <w:tmpl w:val="7EAA4C41"/>
    <w:lvl w:ilvl="0" w:tentative="0">
      <w:start w:val="2"/>
      <w:numFmt w:val="chineseCounting"/>
      <w:suff w:val="nothing"/>
      <w:lvlText w:val="（%1）"/>
      <w:lvlJc w:val="left"/>
      <w:rPr>
        <w:rFonts w:hint="eastAsia"/>
      </w:rPr>
    </w:lvl>
  </w:abstractNum>
  <w:num w:numId="1">
    <w:abstractNumId w:val="4"/>
  </w:num>
  <w:num w:numId="2">
    <w:abstractNumId w:val="6"/>
  </w:num>
  <w:num w:numId="3">
    <w:abstractNumId w:val="7"/>
  </w:num>
  <w:num w:numId="4">
    <w:abstractNumId w:val="1"/>
  </w:num>
  <w:num w:numId="5">
    <w:abstractNumId w:val="3"/>
  </w:num>
  <w:num w:numId="6">
    <w:abstractNumId w:val="5"/>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TFkMTcyNzA5MzRmMDI0OGNlMTI3ZGEzZTY1Mj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AD79DA"/>
    <w:rsid w:val="02143E91"/>
    <w:rsid w:val="0279044D"/>
    <w:rsid w:val="06206C00"/>
    <w:rsid w:val="066E0107"/>
    <w:rsid w:val="06D01FD2"/>
    <w:rsid w:val="07790747"/>
    <w:rsid w:val="07996F6E"/>
    <w:rsid w:val="089774C3"/>
    <w:rsid w:val="08BC0AAC"/>
    <w:rsid w:val="08EB4419"/>
    <w:rsid w:val="099B4B76"/>
    <w:rsid w:val="0A1A3189"/>
    <w:rsid w:val="0A2032A3"/>
    <w:rsid w:val="0A862B81"/>
    <w:rsid w:val="0AD2734A"/>
    <w:rsid w:val="0B646ACD"/>
    <w:rsid w:val="0C6112A5"/>
    <w:rsid w:val="0CBA6969"/>
    <w:rsid w:val="0DAD6BC9"/>
    <w:rsid w:val="0E9D0012"/>
    <w:rsid w:val="0EDC4568"/>
    <w:rsid w:val="0F1A6AA2"/>
    <w:rsid w:val="0F98263C"/>
    <w:rsid w:val="101860EC"/>
    <w:rsid w:val="10C055FF"/>
    <w:rsid w:val="118107EC"/>
    <w:rsid w:val="13D50BC4"/>
    <w:rsid w:val="14200E89"/>
    <w:rsid w:val="143C3B53"/>
    <w:rsid w:val="146C420F"/>
    <w:rsid w:val="14CC5528"/>
    <w:rsid w:val="15015A4D"/>
    <w:rsid w:val="15363E28"/>
    <w:rsid w:val="162376ED"/>
    <w:rsid w:val="16BB723D"/>
    <w:rsid w:val="16C37C64"/>
    <w:rsid w:val="16FD7ACB"/>
    <w:rsid w:val="17587308"/>
    <w:rsid w:val="17984446"/>
    <w:rsid w:val="17D061B1"/>
    <w:rsid w:val="185C0525"/>
    <w:rsid w:val="1869193F"/>
    <w:rsid w:val="18F51424"/>
    <w:rsid w:val="197F0DB4"/>
    <w:rsid w:val="1A866FEF"/>
    <w:rsid w:val="1B2613F2"/>
    <w:rsid w:val="1B7A279A"/>
    <w:rsid w:val="1BE8440E"/>
    <w:rsid w:val="1CE41C20"/>
    <w:rsid w:val="1D155CEE"/>
    <w:rsid w:val="1DDB2996"/>
    <w:rsid w:val="1E216D76"/>
    <w:rsid w:val="1E7C0DA7"/>
    <w:rsid w:val="1FF35744"/>
    <w:rsid w:val="2020147D"/>
    <w:rsid w:val="20C26D42"/>
    <w:rsid w:val="217C21A9"/>
    <w:rsid w:val="21CE5C4B"/>
    <w:rsid w:val="234A7475"/>
    <w:rsid w:val="23860B96"/>
    <w:rsid w:val="240371BF"/>
    <w:rsid w:val="24623E5F"/>
    <w:rsid w:val="24C57C26"/>
    <w:rsid w:val="25504BD5"/>
    <w:rsid w:val="2567027D"/>
    <w:rsid w:val="25693A1C"/>
    <w:rsid w:val="276D35D6"/>
    <w:rsid w:val="28626899"/>
    <w:rsid w:val="287C56BE"/>
    <w:rsid w:val="29111C70"/>
    <w:rsid w:val="29FD04D3"/>
    <w:rsid w:val="2B163BA8"/>
    <w:rsid w:val="2BB97E7C"/>
    <w:rsid w:val="2C2E4130"/>
    <w:rsid w:val="2C824338"/>
    <w:rsid w:val="2C8A61B5"/>
    <w:rsid w:val="2D1A7526"/>
    <w:rsid w:val="2DF04E50"/>
    <w:rsid w:val="2E0A72C8"/>
    <w:rsid w:val="2EAE4303"/>
    <w:rsid w:val="2F040D46"/>
    <w:rsid w:val="2F847550"/>
    <w:rsid w:val="2F8F3E7B"/>
    <w:rsid w:val="308A0EE3"/>
    <w:rsid w:val="31705424"/>
    <w:rsid w:val="31740A71"/>
    <w:rsid w:val="319F7F4E"/>
    <w:rsid w:val="321A0EDA"/>
    <w:rsid w:val="3304709D"/>
    <w:rsid w:val="333C25D6"/>
    <w:rsid w:val="33DB52BA"/>
    <w:rsid w:val="343D67B3"/>
    <w:rsid w:val="345C04F0"/>
    <w:rsid w:val="35812566"/>
    <w:rsid w:val="36AA5135"/>
    <w:rsid w:val="371F5BA8"/>
    <w:rsid w:val="375E6177"/>
    <w:rsid w:val="375F68D7"/>
    <w:rsid w:val="376D39B2"/>
    <w:rsid w:val="37E16F03"/>
    <w:rsid w:val="38D1110E"/>
    <w:rsid w:val="38D469F0"/>
    <w:rsid w:val="3A671C7B"/>
    <w:rsid w:val="3ADA7855"/>
    <w:rsid w:val="3AE960B8"/>
    <w:rsid w:val="3B377BC2"/>
    <w:rsid w:val="3CA631A4"/>
    <w:rsid w:val="3D345BEB"/>
    <w:rsid w:val="3D98207C"/>
    <w:rsid w:val="3E320FD5"/>
    <w:rsid w:val="3E78745D"/>
    <w:rsid w:val="3F3F2E1B"/>
    <w:rsid w:val="3F5F0E6B"/>
    <w:rsid w:val="3FBA41A5"/>
    <w:rsid w:val="3FFD2BDB"/>
    <w:rsid w:val="431A7B56"/>
    <w:rsid w:val="44186D4D"/>
    <w:rsid w:val="44E268DA"/>
    <w:rsid w:val="458A7FC1"/>
    <w:rsid w:val="45E859E1"/>
    <w:rsid w:val="461F6030"/>
    <w:rsid w:val="466A1D2F"/>
    <w:rsid w:val="47105FCE"/>
    <w:rsid w:val="482F7C34"/>
    <w:rsid w:val="4A627F82"/>
    <w:rsid w:val="4A7B712C"/>
    <w:rsid w:val="4AC07235"/>
    <w:rsid w:val="4B0E749A"/>
    <w:rsid w:val="4B1E1D36"/>
    <w:rsid w:val="4B2B6A64"/>
    <w:rsid w:val="4B47674C"/>
    <w:rsid w:val="4B4F25DA"/>
    <w:rsid w:val="4B79584F"/>
    <w:rsid w:val="4B8C6191"/>
    <w:rsid w:val="4BE068DB"/>
    <w:rsid w:val="4C6A5154"/>
    <w:rsid w:val="4D577224"/>
    <w:rsid w:val="4DE43632"/>
    <w:rsid w:val="4E9F5BF5"/>
    <w:rsid w:val="4EAB630A"/>
    <w:rsid w:val="4EAE5525"/>
    <w:rsid w:val="4ECE2238"/>
    <w:rsid w:val="51A7529F"/>
    <w:rsid w:val="51F83758"/>
    <w:rsid w:val="524A5A47"/>
    <w:rsid w:val="525807FD"/>
    <w:rsid w:val="537E6D0A"/>
    <w:rsid w:val="557973EA"/>
    <w:rsid w:val="56EC2C3F"/>
    <w:rsid w:val="57693009"/>
    <w:rsid w:val="57CF2865"/>
    <w:rsid w:val="59756BFC"/>
    <w:rsid w:val="59F80E45"/>
    <w:rsid w:val="5AF92295"/>
    <w:rsid w:val="5BD70FA3"/>
    <w:rsid w:val="5CD71FC4"/>
    <w:rsid w:val="5D2822A4"/>
    <w:rsid w:val="5D284EF1"/>
    <w:rsid w:val="5EAA0123"/>
    <w:rsid w:val="601121A0"/>
    <w:rsid w:val="60461549"/>
    <w:rsid w:val="609B59DA"/>
    <w:rsid w:val="625A56E3"/>
    <w:rsid w:val="631043D5"/>
    <w:rsid w:val="64DA37FD"/>
    <w:rsid w:val="655003E0"/>
    <w:rsid w:val="6700047D"/>
    <w:rsid w:val="674A40AB"/>
    <w:rsid w:val="67752C6B"/>
    <w:rsid w:val="69180510"/>
    <w:rsid w:val="6A28230D"/>
    <w:rsid w:val="6A57631E"/>
    <w:rsid w:val="6AEB0FD4"/>
    <w:rsid w:val="6C4A05C8"/>
    <w:rsid w:val="6D5B518C"/>
    <w:rsid w:val="6DEB4675"/>
    <w:rsid w:val="6E7E3605"/>
    <w:rsid w:val="6FF5CC65"/>
    <w:rsid w:val="70423736"/>
    <w:rsid w:val="70B44F03"/>
    <w:rsid w:val="715C0E4B"/>
    <w:rsid w:val="72734D90"/>
    <w:rsid w:val="72F74268"/>
    <w:rsid w:val="73AD73D5"/>
    <w:rsid w:val="73B6EB34"/>
    <w:rsid w:val="73E034D2"/>
    <w:rsid w:val="744731E5"/>
    <w:rsid w:val="744830A4"/>
    <w:rsid w:val="74624D35"/>
    <w:rsid w:val="753B0EB7"/>
    <w:rsid w:val="75E320D6"/>
    <w:rsid w:val="75E54293"/>
    <w:rsid w:val="76E3355F"/>
    <w:rsid w:val="76FD6EBC"/>
    <w:rsid w:val="778769C8"/>
    <w:rsid w:val="77F2438B"/>
    <w:rsid w:val="783D6854"/>
    <w:rsid w:val="78AF42C1"/>
    <w:rsid w:val="78C966FA"/>
    <w:rsid w:val="795E4CD6"/>
    <w:rsid w:val="79EE5BA4"/>
    <w:rsid w:val="7A3370D3"/>
    <w:rsid w:val="7A3E06C9"/>
    <w:rsid w:val="7A894339"/>
    <w:rsid w:val="7BD4433B"/>
    <w:rsid w:val="7CBA32DC"/>
    <w:rsid w:val="7D117CD8"/>
    <w:rsid w:val="7E0B1F99"/>
    <w:rsid w:val="7E0D2455"/>
    <w:rsid w:val="7E5C7A06"/>
    <w:rsid w:val="7E5E1A52"/>
    <w:rsid w:val="7EB937C3"/>
    <w:rsid w:val="7EEF11D3"/>
    <w:rsid w:val="7F1033A7"/>
    <w:rsid w:val="7F805B82"/>
    <w:rsid w:val="7F927AC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beforeLines="30"/>
    </w:pPr>
    <w:rPr>
      <w:rFonts w:ascii="仿宋_GB2312" w:eastAsia="仿宋_GB2312"/>
      <w:kern w:val="0"/>
      <w:sz w:val="30"/>
    </w:rPr>
  </w:style>
  <w:style w:type="paragraph" w:styleId="3">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7">
    <w:name w:val="index 5"/>
    <w:basedOn w:val="1"/>
    <w:next w:val="1"/>
    <w:qFormat/>
    <w:uiPriority w:val="0"/>
    <w:pPr>
      <w:spacing w:line="240" w:lineRule="auto"/>
      <w:ind w:left="1680"/>
    </w:pPr>
  </w:style>
  <w:style w:type="paragraph" w:styleId="8">
    <w:name w:val="Body Text Indent"/>
    <w:basedOn w:val="1"/>
    <w:next w:val="9"/>
    <w:qFormat/>
    <w:uiPriority w:val="0"/>
    <w:pPr>
      <w:spacing w:after="120"/>
      <w:ind w:left="200" w:leftChars="200"/>
    </w:pPr>
    <w:rPr>
      <w:rFonts w:ascii="仿宋_GB2312"/>
      <w:szCs w:val="32"/>
    </w:rPr>
  </w:style>
  <w:style w:type="paragraph" w:styleId="9">
    <w:name w:val="Date"/>
    <w:basedOn w:val="1"/>
    <w:next w:val="1"/>
    <w:qFormat/>
    <w:uiPriority w:val="0"/>
    <w:pPr>
      <w:ind w:left="2500" w:leftChars="2500"/>
    </w:pPr>
    <w:rPr>
      <w:rFonts w:ascii="方正仿宋简体" w:eastAsia="方正仿宋简体"/>
      <w:szCs w:val="20"/>
    </w:r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qFormat/>
    <w:uiPriority w:val="0"/>
    <w:rPr>
      <w:rFonts w:ascii="宋体" w:hAnsi="Courier New"/>
    </w:rPr>
  </w:style>
  <w:style w:type="paragraph" w:styleId="12">
    <w:name w:val="Balloon Text"/>
    <w:basedOn w:val="1"/>
    <w:link w:val="35"/>
    <w:semiHidden/>
    <w:unhideWhenUsed/>
    <w:qFormat/>
    <w:uiPriority w:val="99"/>
    <w:rPr>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Body Text First Indent 2"/>
    <w:basedOn w:val="8"/>
    <w:next w:val="1"/>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List Paragraph2"/>
    <w:basedOn w:val="1"/>
    <w:next w:val="7"/>
    <w:qFormat/>
    <w:uiPriority w:val="99"/>
    <w:pPr>
      <w:ind w:firstLine="420" w:firstLineChars="200"/>
    </w:p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字符"/>
    <w:link w:val="3"/>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字符"/>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8"/>
    <w:link w:val="4"/>
    <w:qFormat/>
    <w:uiPriority w:val="9"/>
    <w:rPr>
      <w:rFonts w:ascii="Times New Roman" w:hAnsi="Times New Roman"/>
      <w:b/>
      <w:bCs/>
      <w:kern w:val="44"/>
      <w:sz w:val="44"/>
      <w:szCs w:val="44"/>
    </w:rPr>
  </w:style>
  <w:style w:type="character" w:customStyle="1" w:styleId="33">
    <w:name w:val="标题 2 字符"/>
    <w:basedOn w:val="18"/>
    <w:link w:val="5"/>
    <w:qFormat/>
    <w:uiPriority w:val="9"/>
    <w:rPr>
      <w:rFonts w:asciiTheme="majorHAnsi" w:hAnsiTheme="majorHAnsi" w:eastAsiaTheme="majorEastAsia" w:cstheme="majorBidi"/>
      <w:b/>
      <w:bCs/>
      <w:kern w:val="2"/>
      <w:sz w:val="32"/>
      <w:szCs w:val="32"/>
    </w:r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8"/>
    <w:link w:val="12"/>
    <w:semiHidden/>
    <w:qFormat/>
    <w:uiPriority w:val="99"/>
    <w:rPr>
      <w:rFonts w:ascii="Times New Roman" w:hAnsi="Times New Roman"/>
      <w:kern w:val="2"/>
      <w:sz w:val="18"/>
      <w:szCs w:val="18"/>
    </w:rPr>
  </w:style>
  <w:style w:type="character" w:customStyle="1" w:styleId="36">
    <w:name w:val="标题 3 字符"/>
    <w:basedOn w:val="18"/>
    <w:link w:val="6"/>
    <w:qFormat/>
    <w:uiPriority w:val="9"/>
    <w:rPr>
      <w:rFonts w:ascii="Times New Roman" w:hAnsi="Times New Roman"/>
      <w:b/>
      <w:bCs/>
      <w:kern w:val="2"/>
      <w:sz w:val="32"/>
      <w:szCs w:val="32"/>
    </w:rPr>
  </w:style>
  <w:style w:type="paragraph" w:customStyle="1" w:styleId="37">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20(2).xls"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Administrator\Desktop\&#26032;&#24314;%20XLS%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收、支决算总计变动情况图    </a:t>
            </a:r>
            <a:endPar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440" b="0" i="0" u="none" strike="noStrike" kern="1200" spc="0" baseline="0">
                <a:solidFill>
                  <a:schemeClr val="tx1">
                    <a:lumMod val="65000"/>
                    <a:lumOff val="35000"/>
                  </a:schemeClr>
                </a:solidFill>
                <a:latin typeface="+mn-lt"/>
                <a:ea typeface="+mn-ea"/>
                <a:cs typeface="+mn-cs"/>
              </a:defRPr>
            </a:pP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  </a:t>
            </a:r>
            <a:r>
              <a:rPr altLang="en-US" sz="1440" b="1"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altLang="en-US" sz="144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96716563061544"/>
          <c:y val="0.0293617477031747"/>
        </c:manualLayout>
      </c:layout>
      <c:overlay val="0"/>
      <c:spPr>
        <a:noFill/>
        <a:ln>
          <a:noFill/>
        </a:ln>
        <a:effectLst/>
      </c:spPr>
    </c:title>
    <c:autoTitleDeleted val="0"/>
    <c:plotArea>
      <c:layout>
        <c:manualLayout>
          <c:layoutTarget val="inner"/>
          <c:xMode val="edge"/>
          <c:yMode val="edge"/>
          <c:x val="0.247850091610904"/>
          <c:y val="0.176597813272178"/>
          <c:w val="0.590167333037169"/>
          <c:h val="0.70965034965035"/>
        </c:manualLayout>
      </c:layout>
      <c:barChart>
        <c:barDir val="col"/>
        <c:grouping val="clustered"/>
        <c:varyColors val="0"/>
        <c:ser>
          <c:idx val="0"/>
          <c:order val="0"/>
          <c:tx>
            <c:strRef>
              <c:f>"收、支决算金额"</c:f>
              <c:strCache>
                <c:ptCount val="1"/>
                <c:pt idx="0">
                  <c:v>收、支决算金额</c:v>
                </c:pt>
              </c:strCache>
            </c:strRef>
          </c:tx>
          <c:spPr>
            <a:solidFill>
              <a:schemeClr val="accent1"/>
            </a:solidFill>
            <a:ln>
              <a:noFill/>
            </a:ln>
            <a:effectLst/>
          </c:spPr>
          <c:invertIfNegative val="0"/>
          <c:dLbls>
            <c:dLbl>
              <c:idx val="1"/>
              <c:layout>
                <c:manualLayout>
                  <c:x val="-0.0043598890210067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accent6"/>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trendline>
            <c:trendlineType val="linear"/>
            <c:forward val="0"/>
            <c:backward val="0"/>
            <c:dispRSqr val="0"/>
            <c:dispEq val="0"/>
          </c:trendline>
          <c:trendline>
            <c:trendlineType val="linear"/>
            <c:forward val="0"/>
            <c:backward val="0"/>
            <c:dispRSqr val="0"/>
            <c:dispEq val="0"/>
          </c:trendline>
          <c:trendline>
            <c:trendlineType val="linear"/>
            <c:dispRSqr val="0"/>
            <c:dispEq val="0"/>
          </c:trendline>
          <c:trendline>
            <c:trendlineType val="linear"/>
            <c:dispRSqr val="0"/>
            <c:dispEq val="0"/>
          </c:trendline>
          <c:cat>
            <c:strRef>
              <c:f>'[新建 XLS 工作表 (2).xls]Sheet1'!$A$42:$A$43</c:f>
              <c:strCache>
                <c:ptCount val="2"/>
                <c:pt idx="0">
                  <c:v>2021年</c:v>
                </c:pt>
                <c:pt idx="1">
                  <c:v>2022年</c:v>
                </c:pt>
              </c:strCache>
            </c:strRef>
          </c:cat>
          <c:val>
            <c:numRef>
              <c:f>'[新建 XLS 工作表 (2).xls]Sheet2'!$B$42:$B$43</c:f>
              <c:numCache>
                <c:formatCode>General</c:formatCode>
                <c:ptCount val="2"/>
                <c:pt idx="0">
                  <c:v>4226.04</c:v>
                </c:pt>
                <c:pt idx="1">
                  <c:v>3853.13</c:v>
                </c:pt>
              </c:numCache>
            </c:numRef>
          </c:val>
        </c:ser>
        <c:dLbls>
          <c:showLegendKey val="0"/>
          <c:showVal val="1"/>
          <c:showCatName val="0"/>
          <c:showSerName val="0"/>
          <c:showPercent val="0"/>
          <c:showBubbleSize val="0"/>
        </c:dLbls>
        <c:gapWidth val="300"/>
        <c:overlap val="0"/>
        <c:axId val="553732117"/>
        <c:axId val="689064840"/>
      </c:barChart>
      <c:catAx>
        <c:axId val="553732117"/>
        <c:scaling>
          <c:orientation val="minMax"/>
        </c:scaling>
        <c:delete val="0"/>
        <c:axPos val="b"/>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altLang="en-US" sz="1200"/>
                  <a:t>决算年度</a:t>
                </a:r>
                <a:endParaRPr altLang="en-US"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689064840"/>
        <c:crosses val="autoZero"/>
        <c:auto val="1"/>
        <c:lblAlgn val="ctr"/>
        <c:lblOffset val="100"/>
        <c:noMultiLvlLbl val="0"/>
      </c:catAx>
      <c:valAx>
        <c:axId val="689064840"/>
        <c:scaling>
          <c:orientation val="minMax"/>
        </c:scaling>
        <c:delete val="0"/>
        <c:axPos val="l"/>
        <c:title>
          <c:tx>
            <c:rich>
              <a:bodyPr rot="-540000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a:t>收、支决算金额</a:t>
                </a:r>
                <a:endParaRPr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621803270744167"/>
              <c:y val="0.424817102342637"/>
            </c:manualLayout>
          </c:layout>
          <c:overlay val="0"/>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553732117"/>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1"/>
        <c:delete val="1"/>
      </c:legendEntry>
      <c:legendEntry>
        <c:idx val="2"/>
        <c:delete val="1"/>
      </c:legendEntry>
      <c:legendEntry>
        <c:idx val="3"/>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ayout>
        <c:manualLayout>
          <c:xMode val="edge"/>
          <c:yMode val="edge"/>
          <c:x val="0.791585838657095"/>
          <c:y val="0.836478219652931"/>
          <c:w val="0.204450625869263"/>
          <c:h val="0.14225013855533"/>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40" b="1" i="0" u="none" strike="noStrike" baseline="0">
                <a:solidFill>
                  <a:srgbClr val="000000"/>
                </a:solidFill>
                <a:latin typeface="宋体" panose="02010600030101010101" charset="-122"/>
                <a:ea typeface="宋体" panose="02010600030101010101" charset="-122"/>
                <a:cs typeface="宋体" panose="02010600030101010101" charset="-122"/>
              </a:rPr>
              <a:t>收入决算结构图</a:t>
            </a:r>
            <a:r>
              <a:rPr lang="en-US" altLang="zh-CN" sz="144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endParaRPr altLang="en-US" sz="144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6001255492781"/>
          <c:y val="0.0111462920595878"/>
        </c:manualLayout>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513888888888889"/>
          <c:y val="0.170833333333333"/>
          <c:w val="0.938888888888889"/>
          <c:h val="0.476157407407407"/>
        </c:manualLayout>
      </c:layout>
      <c:pie3DChart>
        <c:varyColors val="1"/>
        <c:ser>
          <c:idx val="0"/>
          <c:order val="0"/>
          <c:spPr>
            <a:scene3d>
              <a:camera prst="orthographicFront"/>
              <a:lightRig rig="threePt" dir="t"/>
            </a:scene3d>
            <a:sp3d contourW="25400"/>
          </c:spPr>
          <c:explosion val="0"/>
          <c:dPt>
            <c:idx val="0"/>
            <c:bubble3D val="0"/>
            <c:explosion val="0"/>
            <c:spPr>
              <a:solidFill>
                <a:schemeClr val="accent5">
                  <a:lumMod val="40000"/>
                  <a:lumOff val="60000"/>
                </a:schemeClr>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Pt>
            <c:idx val="2"/>
            <c:bubble3D val="0"/>
            <c:explosion val="0"/>
            <c:spPr>
              <a:solidFill>
                <a:schemeClr val="accent3"/>
              </a:solidFill>
              <a:ln w="25400">
                <a:solidFill>
                  <a:schemeClr val="lt1"/>
                </a:solidFill>
              </a:ln>
              <a:effectLst/>
              <a:scene3d>
                <a:camera prst="orthographicFront"/>
                <a:lightRig rig="threePt" dir="t"/>
              </a:scene3d>
              <a:sp3d contourW="25400"/>
            </c:spPr>
          </c:dPt>
          <c:dPt>
            <c:idx val="3"/>
            <c:bubble3D val="0"/>
            <c:explosion val="0"/>
            <c:spPr>
              <a:solidFill>
                <a:schemeClr val="accent4"/>
              </a:solidFill>
              <a:ln w="25400">
                <a:solidFill>
                  <a:schemeClr val="lt1"/>
                </a:solidFill>
              </a:ln>
              <a:effectLst/>
              <a:scene3d>
                <a:camera prst="orthographicFront"/>
                <a:lightRig rig="threePt" dir="t"/>
              </a:scene3d>
              <a:sp3d contourW="25400"/>
            </c:spPr>
          </c:dPt>
          <c:dPt>
            <c:idx val="4"/>
            <c:bubble3D val="0"/>
            <c:explosion val="0"/>
            <c:spPr>
              <a:solidFill>
                <a:schemeClr val="accent5"/>
              </a:solidFill>
              <a:ln w="25400">
                <a:solidFill>
                  <a:schemeClr val="lt1"/>
                </a:solidFill>
              </a:ln>
              <a:effectLst/>
              <a:scene3d>
                <a:camera prst="orthographicFront"/>
                <a:lightRig rig="threePt" dir="t"/>
              </a:scene3d>
              <a:sp3d contourW="25400"/>
            </c:spPr>
          </c:dPt>
          <c:dPt>
            <c:idx val="5"/>
            <c:bubble3D val="0"/>
            <c:explosion val="0"/>
            <c:spPr>
              <a:solidFill>
                <a:schemeClr val="accent6"/>
              </a:solidFill>
              <a:ln w="25400">
                <a:solidFill>
                  <a:schemeClr val="lt1"/>
                </a:solidFill>
              </a:ln>
              <a:effectLst/>
              <a:scene3d>
                <a:camera prst="orthographicFront"/>
                <a:lightRig rig="threePt" dir="t"/>
              </a:scene3d>
              <a:sp3d contourW="25400"/>
            </c:spPr>
          </c:dPt>
          <c:dPt>
            <c:idx val="6"/>
            <c:bubble3D val="0"/>
            <c:explosion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explosion val="0"/>
            <c:spPr>
              <a:solidFill>
                <a:schemeClr val="accent2">
                  <a:lumMod val="60000"/>
                </a:schemeClr>
              </a:solidFill>
              <a:ln w="25400">
                <a:solidFill>
                  <a:schemeClr val="lt1"/>
                </a:solidFill>
              </a:ln>
              <a:effectLst/>
              <a:scene3d>
                <a:camera prst="orthographicFront"/>
                <a:lightRig rig="threePt" dir="t"/>
              </a:scene3d>
              <a:sp3d contourW="25400"/>
            </c:spPr>
          </c:dPt>
          <c:dLbls>
            <c:dLbl>
              <c:idx val="0"/>
              <c:layout>
                <c:manualLayout>
                  <c:x val="0.0167849895173878"/>
                  <c:y val="-0.258260637482671"/>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3619.93万元, 9</a:t>
                    </a:r>
                    <a:r>
                      <a:rPr lang="en-US" altLang="zh-CN" sz="1200">
                        <a:gradFill>
                          <a:gsLst>
                            <a:gs pos="0">
                              <a:srgbClr val="E30000"/>
                            </a:gs>
                            <a:gs pos="100000">
                              <a:srgbClr val="760303"/>
                            </a:gs>
                          </a:gsLst>
                          <a:lin ang="5400000" scaled="0"/>
                        </a:gradFill>
                      </a:rPr>
                      <a:t>5.87</a:t>
                    </a:r>
                    <a:r>
                      <a:rPr sz="1200">
                        <a:gradFill>
                          <a:gsLst>
                            <a:gs pos="0">
                              <a:srgbClr val="E30000"/>
                            </a:gs>
                            <a:gs pos="100000">
                              <a:srgbClr val="760303"/>
                            </a:gs>
                          </a:gsLst>
                          <a:lin ang="5400000" scaled="0"/>
                        </a:gradFill>
                      </a:rPr>
                      <a:t>%</a:t>
                    </a:r>
                    <a:endParaRPr lang="zh-CN" sz="1200" b="0" i="0" u="none" strike="noStrike" kern="1200" baseline="0">
                      <a:gradFill>
                        <a:gsLst>
                          <a:gs pos="0">
                            <a:srgbClr val="E30000"/>
                          </a:gs>
                          <a:gs pos="100000">
                            <a:srgbClr val="760303"/>
                          </a:gs>
                        </a:gsLst>
                        <a:lin ang="5400000" scaled="0"/>
                      </a:gra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gradFill>
                        <a:gsLst>
                          <a:gs pos="0">
                            <a:srgbClr val="E30000"/>
                          </a:gs>
                          <a:gs pos="100000">
                            <a:srgbClr val="760303"/>
                          </a:gs>
                        </a:gsLst>
                        <a:lin ang="5400000" scaled="0"/>
                      </a:gra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00709022448421"/>
                  <c:y val="-0.0405060532084425"/>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0万元, 0%</a:t>
                    </a:r>
                    <a:endParaRPr sz="1200">
                      <a:gradFill>
                        <a:gsLst>
                          <a:gs pos="0">
                            <a:srgbClr val="E30000"/>
                          </a:gs>
                          <a:gs pos="100000">
                            <a:srgbClr val="760303"/>
                          </a:gs>
                        </a:gsLst>
                        <a:lin ang="5400000" scaled="0"/>
                      </a:gradFill>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2039764151761"/>
                  <c:y val="-0.0871707682588196"/>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0万元, 0%</a:t>
                    </a:r>
                    <a:endParaRPr sz="1200">
                      <a:gradFill>
                        <a:gsLst>
                          <a:gs pos="0">
                            <a:srgbClr val="E30000"/>
                          </a:gs>
                          <a:gs pos="100000">
                            <a:srgbClr val="760303"/>
                          </a:gs>
                        </a:gsLst>
                        <a:lin ang="5400000" scaled="0"/>
                      </a:gradFill>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93489768099644"/>
                  <c:y val="0.0313217377975565"/>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0万元, 0%</a:t>
                    </a:r>
                    <a:endParaRPr sz="1200">
                      <a:gradFill>
                        <a:gsLst>
                          <a:gs pos="0">
                            <a:srgbClr val="E30000"/>
                          </a:gs>
                          <a:gs pos="100000">
                            <a:srgbClr val="760303"/>
                          </a:gs>
                        </a:gsLst>
                        <a:lin ang="5400000" scaled="0"/>
                      </a:gradFill>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00483866551956496"/>
                  <c:y val="0.101584094808992"/>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0万元, 0%</a:t>
                    </a:r>
                    <a:endParaRPr sz="1200">
                      <a:gradFill>
                        <a:gsLst>
                          <a:gs pos="0">
                            <a:srgbClr val="E30000"/>
                          </a:gs>
                          <a:gs pos="100000">
                            <a:srgbClr val="760303"/>
                          </a:gs>
                        </a:gsLst>
                        <a:lin ang="5400000" scaled="0"/>
                      </a:gradFill>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191880149791607"/>
                  <c:y val="0.0956138880516585"/>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0万元, 0%</a:t>
                    </a:r>
                    <a:endParaRPr sz="1200">
                      <a:gradFill>
                        <a:gsLst>
                          <a:gs pos="0">
                            <a:srgbClr val="E30000"/>
                          </a:gs>
                          <a:gs pos="100000">
                            <a:srgbClr val="760303"/>
                          </a:gs>
                        </a:gsLst>
                        <a:lin ang="5400000" scaled="0"/>
                      </a:gradFill>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0608237855997979"/>
                  <c:y val="-0.0743842594549335"/>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0万元, 0%</a:t>
                    </a:r>
                    <a:endParaRPr lang="zh-CN" sz="1200" b="0" i="0" u="none" strike="noStrike" kern="1200" baseline="0">
                      <a:gradFill>
                        <a:gsLst>
                          <a:gs pos="0">
                            <a:srgbClr val="E30000"/>
                          </a:gs>
                          <a:gs pos="100000">
                            <a:srgbClr val="760303"/>
                          </a:gs>
                        </a:gsLst>
                        <a:lin ang="5400000" scaled="0"/>
                      </a:gra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gradFill>
                        <a:gsLst>
                          <a:gs pos="0">
                            <a:srgbClr val="E30000"/>
                          </a:gs>
                          <a:gs pos="100000">
                            <a:srgbClr val="760303"/>
                          </a:gs>
                        </a:gsLst>
                        <a:lin ang="5400000" scaled="0"/>
                      </a:gra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7"/>
              <c:layout>
                <c:manualLayout>
                  <c:x val="0.196724858967324"/>
                  <c:y val="0.0114323600998277"/>
                </c:manualLayout>
              </c:layout>
              <c:tx>
                <c:rich>
                  <a:bodyPr rot="0" spcFirstLastPara="0" vertOverflow="ellipsis" vert="horz" wrap="square" lIns="38100" tIns="19050" rIns="38100" bIns="19050" anchor="ctr" anchorCtr="1"/>
                  <a:lstStyle/>
                  <a:p>
                    <a:pPr defTabSz="914400">
                      <a:defRPr lang="zh-CN" sz="1200" b="0" i="0" u="none" strike="noStrike" kern="1200" baseline="0">
                        <a:gradFill>
                          <a:gsLst>
                            <a:gs pos="0">
                              <a:srgbClr val="E30000"/>
                            </a:gs>
                            <a:gs pos="100000">
                              <a:srgbClr val="760303"/>
                            </a:gs>
                          </a:gsLst>
                          <a:lin ang="5400000" scaled="0"/>
                        </a:gradFill>
                        <a:latin typeface="+mn-lt"/>
                        <a:ea typeface="+mn-ea"/>
                        <a:cs typeface="+mn-cs"/>
                      </a:defRPr>
                    </a:pPr>
                    <a:r>
                      <a:rPr sz="1200">
                        <a:gradFill>
                          <a:gsLst>
                            <a:gs pos="0">
                              <a:srgbClr val="E30000"/>
                            </a:gs>
                            <a:gs pos="100000">
                              <a:srgbClr val="760303"/>
                            </a:gs>
                          </a:gsLst>
                          <a:lin ang="5400000" scaled="0"/>
                        </a:gradFill>
                      </a:rPr>
                      <a:t>156.13万元, 4</a:t>
                    </a:r>
                    <a:r>
                      <a:rPr lang="en-US" altLang="zh-CN" sz="1200">
                        <a:gradFill>
                          <a:gsLst>
                            <a:gs pos="0">
                              <a:srgbClr val="E30000"/>
                            </a:gs>
                            <a:gs pos="100000">
                              <a:srgbClr val="760303"/>
                            </a:gs>
                          </a:gsLst>
                          <a:lin ang="5400000" scaled="0"/>
                        </a:gradFill>
                      </a:rPr>
                      <a:t>.13</a:t>
                    </a:r>
                    <a:r>
                      <a:rPr sz="1200">
                        <a:gradFill>
                          <a:gsLst>
                            <a:gs pos="0">
                              <a:srgbClr val="E30000"/>
                            </a:gs>
                            <a:gs pos="100000">
                              <a:srgbClr val="760303"/>
                            </a:gs>
                          </a:gsLst>
                          <a:lin ang="5400000" scaled="0"/>
                        </a:gradFill>
                      </a:rPr>
                      <a:t>%</a:t>
                    </a:r>
                    <a:endParaRPr lang="zh-CN" sz="1200" b="0" i="0" u="none" strike="noStrike" kern="1200" baseline="0">
                      <a:gradFill>
                        <a:gsLst>
                          <a:gs pos="0">
                            <a:srgbClr val="E30000"/>
                          </a:gs>
                          <a:gs pos="100000">
                            <a:srgbClr val="760303"/>
                          </a:gs>
                        </a:gsLst>
                        <a:lin ang="5400000" scaled="0"/>
                      </a:gra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gradFill>
                        <a:gsLst>
                          <a:gs pos="0">
                            <a:srgbClr val="E30000"/>
                          </a:gs>
                          <a:gs pos="100000">
                            <a:srgbClr val="760303"/>
                          </a:gs>
                        </a:gsLst>
                        <a:lin ang="5400000" scaled="0"/>
                      </a:gra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gradFill>
                      <a:gsLst>
                        <a:gs pos="0">
                          <a:srgbClr val="E30000"/>
                        </a:gs>
                        <a:gs pos="100000">
                          <a:srgbClr val="760303"/>
                        </a:gs>
                      </a:gsLst>
                      <a:lin ang="5400000" scaled="0"/>
                    </a:gra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 (2).xls]Sheet1'!$I$62:$I$69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'[新建 XLS 工作表 (2).xls]Sheet1'!$J$62:$J$69</c:f>
              <c:numCache>
                <c:formatCode>General</c:formatCode>
                <c:ptCount val="8"/>
                <c:pt idx="0">
                  <c:v>3619.93</c:v>
                </c:pt>
                <c:pt idx="1">
                  <c:v>0</c:v>
                </c:pt>
                <c:pt idx="2">
                  <c:v>0</c:v>
                </c:pt>
                <c:pt idx="3">
                  <c:v>0</c:v>
                </c:pt>
                <c:pt idx="4">
                  <c:v>0</c:v>
                </c:pt>
                <c:pt idx="5">
                  <c:v>0</c:v>
                </c:pt>
                <c:pt idx="6">
                  <c:v>0</c:v>
                </c:pt>
                <c:pt idx="7">
                  <c:v>156.13</c:v>
                </c:pt>
              </c:numCache>
            </c:numRef>
          </c:val>
        </c:ser>
        <c:dLbls>
          <c:showLegendKey val="0"/>
          <c:showVal val="0"/>
          <c:showCatName val="0"/>
          <c:showSerName val="0"/>
          <c:showPercent val="0"/>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0519444444444444"/>
          <c:y val="0.674768518518518"/>
          <c:w val="0.943888888888889"/>
          <c:h val="0.268055555555556"/>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         </a:t>
            </a:r>
            <a:r>
              <a:rPr sz="1440" b="1"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       </a:t>
            </a:r>
            <a:endParaRPr altLang="en-US" sz="144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44171428571429"/>
          <c:y val="0.00761614623000762"/>
        </c:manualLayout>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33444211017741"/>
          <c:y val="0.174112256586483"/>
          <c:w val="0.823611111111111"/>
          <c:h val="0.576174112256586"/>
        </c:manualLayout>
      </c:layout>
      <c:pie3DChart>
        <c:varyColors val="1"/>
        <c:ser>
          <c:idx val="0"/>
          <c:order val="0"/>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Pt>
            <c:idx val="2"/>
            <c:bubble3D val="0"/>
            <c:explosion val="0"/>
            <c:spPr>
              <a:solidFill>
                <a:schemeClr val="accent3"/>
              </a:solidFill>
              <a:ln w="25400">
                <a:solidFill>
                  <a:schemeClr val="lt1"/>
                </a:solidFill>
              </a:ln>
              <a:effectLst/>
              <a:scene3d>
                <a:camera prst="orthographicFront"/>
                <a:lightRig rig="threePt" dir="t"/>
              </a:scene3d>
              <a:sp3d contourW="25400"/>
            </c:spPr>
          </c:dPt>
          <c:dPt>
            <c:idx val="3"/>
            <c:bubble3D val="0"/>
            <c:explosion val="0"/>
            <c:spPr>
              <a:solidFill>
                <a:schemeClr val="accent4"/>
              </a:solidFill>
              <a:ln w="25400">
                <a:solidFill>
                  <a:schemeClr val="lt1"/>
                </a:solidFill>
              </a:ln>
              <a:effectLst/>
              <a:scene3d>
                <a:camera prst="orthographicFront"/>
                <a:lightRig rig="threePt" dir="t"/>
              </a:scene3d>
              <a:sp3d contourW="25400"/>
            </c:spPr>
          </c:dPt>
          <c:dPt>
            <c:idx val="4"/>
            <c:bubble3D val="0"/>
            <c:explosion val="0"/>
            <c:spPr>
              <a:solidFill>
                <a:schemeClr val="accent5"/>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2873.4</a:t>
                    </a:r>
                    <a:r>
                      <a:rPr lang="en-US" altLang="zh-CN"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7</a:t>
                    </a:r>
                    <a:r>
                      <a:rPr altLang="en-US"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万元</a:t>
                    </a:r>
                    <a:endPar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a:p>
                    <a:pPr defTabSz="914400">
                      <a:defRPr lang="zh-CN" sz="12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 7</a:t>
                    </a:r>
                    <a:r>
                      <a:rPr lang="en-US" altLang="zh-CN"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4.57</a:t>
                    </a:r>
                    <a:r>
                      <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1"/>
              <c:showCatName val="0"/>
              <c:showSerName val="0"/>
              <c:showPercent val="1"/>
              <c:showBubbleSize val="0"/>
              <c:extLst>
                <c:ext xmlns:c15="http://schemas.microsoft.com/office/drawing/2012/chart" uri="{CE6537A1-D6FC-4f65-9D91-7224C49458BB}"/>
              </c:extLst>
            </c:dLbl>
            <c:dLbl>
              <c:idx val="1"/>
              <c:layout>
                <c:manualLayout>
                  <c:x val="0.168792436865536"/>
                  <c:y val="0.0860438233401195"/>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979.66万元</a:t>
                    </a:r>
                    <a:endPar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a:p>
                    <a:pPr defTabSz="914400">
                      <a:defRPr lang="zh-CN" sz="12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 25</a:t>
                    </a:r>
                    <a:r>
                      <a:rPr lang="en-US" altLang="zh-CN"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.43</a:t>
                    </a:r>
                    <a:r>
                      <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a:t>
                    </a:r>
                    <a:endParaRPr sz="1200" b="1">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773204990550724"/>
                  <c:y val="-0.00917851514267355"/>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b="1">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0万元, 0%</a:t>
                    </a:r>
                    <a:endParaRPr sz="1200" b="1">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numFmt formatCode="General" sourceLinked="1"/>
              <c:spPr>
                <a:solidFill>
                  <a:schemeClr val="bg1"/>
                </a:solid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68085469185957"/>
                  <c:y val="0.0424033280485231"/>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b="1">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0万元, 0%</a:t>
                    </a:r>
                    <a:endParaRPr sz="1200" b="1">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739569550014045"/>
                  <c:y val="-0.0366888315113118"/>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sz="1200" b="1">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rPr>
                      <a:t>0万元, 0%</a:t>
                    </a:r>
                    <a:endParaRPr sz="1200" b="1">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accent6">
                        <a:lumMod val="50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 (2).xls]Sheet1'!$G$90:$G$94</c:f>
              <c:strCache>
                <c:ptCount val="5"/>
                <c:pt idx="0">
                  <c:v>基本支出</c:v>
                </c:pt>
                <c:pt idx="1">
                  <c:v>项目支出</c:v>
                </c:pt>
                <c:pt idx="2">
                  <c:v>上缴上级支出</c:v>
                </c:pt>
                <c:pt idx="3">
                  <c:v>经营支出</c:v>
                </c:pt>
                <c:pt idx="4">
                  <c:v>对附属单位补助支出</c:v>
                </c:pt>
              </c:strCache>
            </c:strRef>
          </c:cat>
          <c:val>
            <c:numRef>
              <c:f>'[新建 XLS 工作表 (2).xls]Sheet1'!$H$90:$H$94</c:f>
              <c:numCache>
                <c:formatCode>General</c:formatCode>
                <c:ptCount val="5"/>
                <c:pt idx="0">
                  <c:v>2873.47</c:v>
                </c:pt>
                <c:pt idx="1">
                  <c:v>979.66</c:v>
                </c:pt>
                <c:pt idx="2">
                  <c:v>0</c:v>
                </c:pt>
                <c:pt idx="3">
                  <c:v>0</c:v>
                </c:pt>
                <c:pt idx="4">
                  <c:v>0</c:v>
                </c:pt>
              </c:numCache>
            </c:numRef>
          </c:val>
        </c:ser>
        <c:dLbls>
          <c:showLegendKey val="0"/>
          <c:showVal val="0"/>
          <c:showCatName val="0"/>
          <c:showSerName val="0"/>
          <c:showPercent val="0"/>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03888888888889"/>
          <c:y val="0.868270332187858"/>
          <c:w val="0.841944444444444"/>
          <c:h val="0.102634593356243"/>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财政拨款收、支决算总计变动情况    </a:t>
            </a:r>
            <a:endPar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440" b="0" i="0" u="none" strike="noStrike" kern="1200" spc="0" baseline="0">
                <a:solidFill>
                  <a:schemeClr val="tx1">
                    <a:lumMod val="65000"/>
                    <a:lumOff val="35000"/>
                  </a:schemeClr>
                </a:solidFill>
                <a:latin typeface="+mn-lt"/>
                <a:ea typeface="+mn-ea"/>
                <a:cs typeface="+mn-cs"/>
              </a:defRPr>
            </a:pP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  </a:t>
            </a:r>
            <a:r>
              <a:rPr altLang="en-US" sz="1440" b="1"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altLang="en-US" sz="144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96716563061544"/>
          <c:y val="0.0293617477031747"/>
        </c:manualLayout>
      </c:layout>
      <c:overlay val="0"/>
      <c:spPr>
        <a:noFill/>
        <a:ln>
          <a:noFill/>
        </a:ln>
        <a:effectLst/>
      </c:spPr>
    </c:title>
    <c:autoTitleDeleted val="0"/>
    <c:plotArea>
      <c:layout>
        <c:manualLayout>
          <c:layoutTarget val="inner"/>
          <c:xMode val="edge"/>
          <c:yMode val="edge"/>
          <c:x val="0.225881572238856"/>
          <c:y val="0.189864855285745"/>
          <c:w val="0.590167333037169"/>
          <c:h val="0.70965034965035"/>
        </c:manualLayout>
      </c:layout>
      <c:barChart>
        <c:barDir val="col"/>
        <c:grouping val="clustered"/>
        <c:varyColors val="0"/>
        <c:ser>
          <c:idx val="0"/>
          <c:order val="0"/>
          <c:tx>
            <c:strRef>
              <c:f>"财政拨款收、支决算金额"</c:f>
              <c:strCache>
                <c:ptCount val="1"/>
                <c:pt idx="0">
                  <c:v>财政拨款收、支决算金额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accent6"/>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trendline>
            <c:trendlineType val="linear"/>
            <c:forward val="0"/>
            <c:backward val="0"/>
            <c:dispRSqr val="0"/>
            <c:dispEq val="0"/>
          </c:trendline>
          <c:trendline>
            <c:trendlineType val="linear"/>
            <c:forward val="0"/>
            <c:backward val="0"/>
            <c:dispRSqr val="0"/>
            <c:dispEq val="0"/>
          </c:trendline>
          <c:cat>
            <c:strRef>
              <c:f>'[新建 XLS 工作表 (2).xls]Sheet1'!$A$42:$A$43</c:f>
              <c:strCache>
                <c:ptCount val="2"/>
                <c:pt idx="0">
                  <c:v>2021年</c:v>
                </c:pt>
                <c:pt idx="1">
                  <c:v>2022年</c:v>
                </c:pt>
              </c:strCache>
            </c:strRef>
          </c:cat>
          <c:val>
            <c:numRef>
              <c:f>'[新建 XLS 工作表 (2).xls]Sheet2'!$B$42:$B$43</c:f>
              <c:numCache>
                <c:formatCode>General</c:formatCode>
                <c:ptCount val="2"/>
                <c:pt idx="0">
                  <c:v>3923.85</c:v>
                </c:pt>
                <c:pt idx="1">
                  <c:v>3697</c:v>
                </c:pt>
              </c:numCache>
            </c:numRef>
          </c:val>
        </c:ser>
        <c:dLbls>
          <c:showLegendKey val="0"/>
          <c:showVal val="1"/>
          <c:showCatName val="0"/>
          <c:showSerName val="0"/>
          <c:showPercent val="0"/>
          <c:showBubbleSize val="0"/>
        </c:dLbls>
        <c:gapWidth val="300"/>
        <c:overlap val="0"/>
        <c:axId val="553732117"/>
        <c:axId val="689064840"/>
      </c:barChart>
      <c:catAx>
        <c:axId val="553732117"/>
        <c:scaling>
          <c:orientation val="minMax"/>
        </c:scaling>
        <c:delete val="0"/>
        <c:axPos val="b"/>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altLang="en-US" sz="1200"/>
                  <a:t>决算年度</a:t>
                </a:r>
                <a:endParaRPr altLang="en-US"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689064840"/>
        <c:crosses val="autoZero"/>
        <c:auto val="1"/>
        <c:lblAlgn val="ctr"/>
        <c:lblOffset val="100"/>
        <c:noMultiLvlLbl val="0"/>
      </c:catAx>
      <c:valAx>
        <c:axId val="689064840"/>
        <c:scaling>
          <c:orientation val="minMax"/>
        </c:scaling>
        <c:delete val="0"/>
        <c:axPos val="l"/>
        <c:title>
          <c:tx>
            <c:rich>
              <a:bodyPr rot="-540000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a:t>收、支决算金额</a:t>
                </a:r>
                <a:endParaRPr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621803270744167"/>
              <c:y val="0.424817102342637"/>
            </c:manualLayout>
          </c:layout>
          <c:overlay val="0"/>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553732117"/>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1"/>
        <c:delete val="1"/>
      </c:legendEntry>
      <c:legendEntry>
        <c:idx val="2"/>
        <c:delete val="1"/>
      </c:legendEntry>
      <c:layout>
        <c:manualLayout>
          <c:xMode val="edge"/>
          <c:yMode val="edge"/>
          <c:x val="0.786509040333797"/>
          <c:y val="0.850544984297063"/>
          <c:w val="0.204450625869263"/>
          <c:h val="0.14225013855533"/>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一般公共预算财政拨款支出决算变动情况    </a:t>
            </a:r>
            <a:endPar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440" b="0" i="0" u="none" strike="noStrike" kern="1200" spc="0" baseline="0">
                <a:solidFill>
                  <a:schemeClr val="tx1">
                    <a:lumMod val="65000"/>
                    <a:lumOff val="35000"/>
                  </a:schemeClr>
                </a:solidFill>
                <a:latin typeface="+mn-lt"/>
                <a:ea typeface="+mn-ea"/>
                <a:cs typeface="+mn-cs"/>
              </a:defRPr>
            </a:pPr>
            <a:r>
              <a:rPr lang="en-US" altLang="zh-CN" sz="144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  </a:t>
            </a:r>
            <a:r>
              <a:rPr altLang="en-US" sz="1440" b="1"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altLang="en-US" sz="144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78513253368873"/>
          <c:y val="0.034965034965035"/>
        </c:manualLayout>
      </c:layout>
      <c:overlay val="0"/>
      <c:spPr>
        <a:noFill/>
        <a:ln>
          <a:noFill/>
        </a:ln>
        <a:effectLst/>
      </c:spPr>
    </c:title>
    <c:autoTitleDeleted val="0"/>
    <c:plotArea>
      <c:layout>
        <c:manualLayout>
          <c:layoutTarget val="inner"/>
          <c:xMode val="edge"/>
          <c:yMode val="edge"/>
          <c:x val="0.187472234562417"/>
          <c:y val="0.174825174825175"/>
          <c:w val="0.590167333037169"/>
          <c:h val="0.70965034965035"/>
        </c:manualLayout>
      </c:layout>
      <c:barChart>
        <c:barDir val="col"/>
        <c:grouping val="clustered"/>
        <c:varyColors val="0"/>
        <c:ser>
          <c:idx val="0"/>
          <c:order val="0"/>
          <c:tx>
            <c:strRef>
              <c:f>"一般公共预算财政拨款支出决算金额"</c:f>
              <c:strCache>
                <c:ptCount val="1"/>
                <c:pt idx="0">
                  <c:v>一般公共预算财政拨款支出决算金额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accent6"/>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trendline>
            <c:trendlineType val="linear"/>
            <c:forward val="0"/>
            <c:backward val="0"/>
            <c:dispRSqr val="0"/>
            <c:dispEq val="0"/>
          </c:trendline>
          <c:trendline>
            <c:trendlineType val="linear"/>
            <c:forward val="0"/>
            <c:backward val="0"/>
            <c:dispRSqr val="0"/>
            <c:dispEq val="0"/>
          </c:trendline>
          <c:cat>
            <c:strRef>
              <c:f>'[新建 XLS 工作表 (2).xls]Sheet1'!$A$42:$A$43</c:f>
              <c:strCache>
                <c:ptCount val="2"/>
                <c:pt idx="0">
                  <c:v>2021年</c:v>
                </c:pt>
                <c:pt idx="1">
                  <c:v>2022年</c:v>
                </c:pt>
              </c:strCache>
            </c:strRef>
          </c:cat>
          <c:val>
            <c:numRef>
              <c:f>'[新建 XLS 工作表 (2).xls]Sheet2'!$B$42:$B$43</c:f>
              <c:numCache>
                <c:formatCode>General</c:formatCode>
                <c:ptCount val="2"/>
                <c:pt idx="0">
                  <c:v>3914.48</c:v>
                </c:pt>
                <c:pt idx="1">
                  <c:v>3697</c:v>
                </c:pt>
              </c:numCache>
            </c:numRef>
          </c:val>
        </c:ser>
        <c:dLbls>
          <c:showLegendKey val="0"/>
          <c:showVal val="1"/>
          <c:showCatName val="0"/>
          <c:showSerName val="0"/>
          <c:showPercent val="0"/>
          <c:showBubbleSize val="0"/>
        </c:dLbls>
        <c:gapWidth val="300"/>
        <c:overlap val="0"/>
        <c:axId val="553732117"/>
        <c:axId val="689064840"/>
      </c:barChart>
      <c:catAx>
        <c:axId val="553732117"/>
        <c:scaling>
          <c:orientation val="minMax"/>
        </c:scaling>
        <c:delete val="0"/>
        <c:axPos val="b"/>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altLang="en-US" sz="1200"/>
                  <a:t>决算年度</a:t>
                </a:r>
                <a:endParaRPr altLang="en-US"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majorTickMark val="none"/>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689064840"/>
        <c:crosses val="autoZero"/>
        <c:auto val="1"/>
        <c:lblAlgn val="ctr"/>
        <c:lblOffset val="100"/>
        <c:noMultiLvlLbl val="0"/>
      </c:catAx>
      <c:valAx>
        <c:axId val="689064840"/>
        <c:scaling>
          <c:orientation val="minMax"/>
        </c:scaling>
        <c:delete val="0"/>
        <c:axPos val="l"/>
        <c:title>
          <c:tx>
            <c:rich>
              <a:bodyPr rot="-540000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a:t>支出决算金额</a:t>
                </a:r>
                <a:endParaRPr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621803270744167"/>
              <c:y val="0.424817102342637"/>
            </c:manualLayout>
          </c:layout>
          <c:overlay val="0"/>
        </c:title>
        <c:numFmt formatCode="General" sourceLinked="1"/>
        <c:majorTickMark val="in"/>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553732117"/>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1"/>
        <c:delete val="1"/>
      </c:legendEntry>
      <c:legendEntry>
        <c:idx val="2"/>
        <c:delete val="1"/>
      </c:legendEntry>
      <c:layout>
        <c:manualLayout>
          <c:xMode val="edge"/>
          <c:yMode val="edge"/>
          <c:x val="0.727232341181697"/>
          <c:y val="0.850582750582751"/>
          <c:w val="0.26375"/>
          <c:h val="0.14225"/>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40" b="1">
                <a:solidFill>
                  <a:sysClr val="windowText" lastClr="000000"/>
                </a:solidFill>
              </a:rPr>
              <a:t>一般公共预算财政拨款支出决算结构</a:t>
            </a:r>
            <a:endParaRPr sz="1440" b="1" i="0" u="none" strike="noStrike" baseline="0">
              <a:solidFill>
                <a:sysClr val="windowText" lastClr="000000"/>
              </a:solidFill>
              <a:latin typeface="宋体" panose="02010600030101010101" charset="-122"/>
              <a:ea typeface="宋体" panose="02010600030101010101" charset="-122"/>
              <a:cs typeface="宋体" panose="02010600030101010101" charset="-122"/>
            </a:endParaRPr>
          </a:p>
        </c:rich>
      </c:tx>
      <c:layout>
        <c:manualLayout>
          <c:xMode val="edge"/>
          <c:yMode val="edge"/>
          <c:x val="0.197638888888889"/>
          <c:y val="0.0208333333333333"/>
        </c:manualLayout>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407122146278247"/>
          <c:y val="0.159597872351459"/>
          <c:w val="0.938888888888889"/>
          <c:h val="0.476851851851852"/>
        </c:manualLayout>
      </c:layout>
      <c:pie3DChart>
        <c:varyColors val="1"/>
        <c:ser>
          <c:idx val="0"/>
          <c:order val="0"/>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Pt>
            <c:idx val="2"/>
            <c:bubble3D val="0"/>
            <c:explosion val="0"/>
            <c:spPr>
              <a:solidFill>
                <a:schemeClr val="accent3"/>
              </a:solidFill>
              <a:ln w="25400">
                <a:solidFill>
                  <a:schemeClr val="lt1"/>
                </a:solidFill>
              </a:ln>
              <a:effectLst/>
              <a:scene3d>
                <a:camera prst="orthographicFront"/>
                <a:lightRig rig="threePt" dir="t"/>
              </a:scene3d>
              <a:sp3d contourW="25400"/>
            </c:spPr>
          </c:dPt>
          <c:dPt>
            <c:idx val="3"/>
            <c:bubble3D val="0"/>
            <c:explosion val="0"/>
            <c:spPr>
              <a:solidFill>
                <a:schemeClr val="accent4"/>
              </a:solidFill>
              <a:ln w="25400">
                <a:solidFill>
                  <a:schemeClr val="lt1"/>
                </a:solidFill>
              </a:ln>
              <a:effectLst/>
              <a:scene3d>
                <a:camera prst="orthographicFront"/>
                <a:lightRig rig="threePt" dir="t"/>
              </a:scene3d>
              <a:sp3d contourW="25400"/>
            </c:spPr>
          </c:dPt>
          <c:dPt>
            <c:idx val="4"/>
            <c:bubble3D val="0"/>
            <c:explosion val="0"/>
            <c:spPr>
              <a:solidFill>
                <a:schemeClr val="accent5"/>
              </a:solidFill>
              <a:ln w="25400">
                <a:solidFill>
                  <a:schemeClr val="lt1"/>
                </a:solidFill>
              </a:ln>
              <a:effectLst/>
              <a:scene3d>
                <a:camera prst="orthographicFront"/>
                <a:lightRig rig="threePt" dir="t"/>
              </a:scene3d>
              <a:sp3d contourW="25400"/>
            </c:spPr>
          </c:dPt>
          <c:dPt>
            <c:idx val="5"/>
            <c:bubble3D val="0"/>
            <c:explosion val="0"/>
            <c:spPr>
              <a:solidFill>
                <a:schemeClr val="accent6"/>
              </a:solidFill>
              <a:ln w="25400">
                <a:solidFill>
                  <a:schemeClr val="lt1"/>
                </a:solidFill>
              </a:ln>
              <a:effectLst/>
              <a:scene3d>
                <a:camera prst="orthographicFront"/>
                <a:lightRig rig="threePt" dir="t"/>
              </a:scene3d>
              <a:sp3d contourW="25400"/>
            </c:spPr>
          </c:dPt>
          <c:dPt>
            <c:idx val="6"/>
            <c:bubble3D val="0"/>
            <c:explosion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explosion val="0"/>
            <c:spPr>
              <a:solidFill>
                <a:schemeClr val="accent2">
                  <a:lumMod val="60000"/>
                </a:schemeClr>
              </a:solidFill>
              <a:ln w="25400">
                <a:solidFill>
                  <a:schemeClr val="lt1"/>
                </a:solidFill>
              </a:ln>
              <a:effectLst/>
              <a:scene3d>
                <a:camera prst="orthographicFront"/>
                <a:lightRig rig="threePt" dir="t"/>
              </a:scene3d>
              <a:sp3d contourW="25400"/>
            </c:spPr>
          </c:dPt>
          <c:dLbls>
            <c:dLbl>
              <c:idx val="0"/>
              <c:layout>
                <c:manualLayout>
                  <c:x val="-0.158498332720552"/>
                  <c:y val="-0.0151479630693295"/>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b="1"/>
                      <a:t>1.54万元, 0</a:t>
                    </a:r>
                    <a:r>
                      <a:rPr lang="en-US" altLang="zh-CN" sz="1200" b="1"/>
                      <a:t>.04</a:t>
                    </a:r>
                    <a:r>
                      <a:rPr sz="1200" b="1"/>
                      <a:t>%</a:t>
                    </a:r>
                    <a:endParaRPr lang="zh-CN" sz="1200" b="1" i="0" u="none" strike="noStrike" kern="1200" baseline="0">
                      <a:solidFill>
                        <a:schemeClr val="tx1">
                          <a:lumMod val="75000"/>
                          <a:lumOff val="25000"/>
                        </a:schemeClr>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236681127214111"/>
                  <c:y val="0.190688659391465"/>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bg1"/>
                        </a:solidFill>
                        <a:latin typeface="+mn-lt"/>
                        <a:ea typeface="+mn-ea"/>
                        <a:cs typeface="+mn-cs"/>
                      </a:defRPr>
                    </a:pPr>
                    <a:r>
                      <a:rPr sz="1200" b="1">
                        <a:solidFill>
                          <a:schemeClr val="bg1"/>
                        </a:solidFill>
                      </a:rPr>
                      <a:t>0万元, 0%</a:t>
                    </a:r>
                    <a:endParaRPr lang="zh-CN" sz="1200" b="1" i="0" u="none" strike="noStrike" kern="1200" baseline="0">
                      <a:solidFill>
                        <a:schemeClr val="bg1"/>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bg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380120125584689"/>
                  <c:y val="-0.0300431913146878"/>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b="1"/>
                      <a:t>208.82万元, </a:t>
                    </a:r>
                    <a:r>
                      <a:rPr lang="en-US" altLang="zh-CN" sz="1200" b="1"/>
                      <a:t>5.65</a:t>
                    </a:r>
                    <a:r>
                      <a:rPr sz="1200" b="1"/>
                      <a:t>%</a:t>
                    </a:r>
                    <a:endParaRPr lang="zh-CN" sz="1200" b="1" i="0" u="none" strike="noStrike" kern="1200" baseline="0">
                      <a:solidFill>
                        <a:schemeClr val="tx1">
                          <a:lumMod val="75000"/>
                          <a:lumOff val="25000"/>
                        </a:schemeClr>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199066930504958"/>
                  <c:y val="-0.0192495236368667"/>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b="1"/>
                      <a:t>0万元, 0%</a:t>
                    </a:r>
                    <a:endParaRPr lang="zh-CN" sz="1200" b="1" i="0" u="none" strike="noStrike" kern="1200" baseline="0">
                      <a:solidFill>
                        <a:schemeClr val="tx1">
                          <a:lumMod val="75000"/>
                          <a:lumOff val="25000"/>
                        </a:schemeClr>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344817772314722"/>
                  <c:y val="-0.00143643851394954"/>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b="1"/>
                      <a:t>538.17万元, 1</a:t>
                    </a:r>
                    <a:r>
                      <a:rPr lang="en-US" altLang="zh-CN" sz="1200" b="1"/>
                      <a:t>4.55</a:t>
                    </a:r>
                    <a:r>
                      <a:rPr sz="1200" b="1"/>
                      <a:t>%</a:t>
                    </a:r>
                    <a:endParaRPr lang="zh-CN" sz="1200" b="1" i="0" u="none" strike="noStrike" kern="1200" baseline="0">
                      <a:solidFill>
                        <a:schemeClr val="tx1">
                          <a:lumMod val="75000"/>
                          <a:lumOff val="25000"/>
                        </a:schemeClr>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00396424724908618"/>
                  <c:y val="0.0101625242480317"/>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b="1"/>
                      <a:t>0万元, 0%</a:t>
                    </a:r>
                    <a:endParaRPr sz="1200" b="1"/>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0316414925487008"/>
                  <c:y val="0.0715921796967574"/>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sz="1200" b="1"/>
                      <a:t>198.82万元,</a:t>
                    </a:r>
                    <a:r>
                      <a:rPr lang="en-US" altLang="zh-CN" sz="1200" b="1"/>
                      <a:t>5.38</a:t>
                    </a:r>
                    <a:r>
                      <a:rPr sz="1200" b="1"/>
                      <a:t>%</a:t>
                    </a:r>
                    <a:endParaRPr lang="zh-CN" sz="1200" b="1" i="0" u="none" strike="noStrike" kern="1200" baseline="0">
                      <a:solidFill>
                        <a:schemeClr val="tx1">
                          <a:lumMod val="75000"/>
                          <a:lumOff val="25000"/>
                        </a:schemeClr>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7"/>
              <c:layout>
                <c:manualLayout>
                  <c:x val="0.211202187158128"/>
                  <c:y val="-0.152993403701956"/>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bg1"/>
                        </a:solidFill>
                        <a:latin typeface="+mn-lt"/>
                        <a:ea typeface="+mn-ea"/>
                        <a:cs typeface="+mn-cs"/>
                      </a:defRPr>
                    </a:pPr>
                    <a:r>
                      <a:rPr sz="1200" b="1">
                        <a:solidFill>
                          <a:schemeClr val="bg1"/>
                        </a:solidFill>
                      </a:rPr>
                      <a:t>2749.65万元, 74</a:t>
                    </a:r>
                    <a:r>
                      <a:rPr lang="en-US" altLang="zh-CN" sz="1200" b="1">
                        <a:solidFill>
                          <a:schemeClr val="bg1"/>
                        </a:solidFill>
                      </a:rPr>
                      <a:t>.38</a:t>
                    </a:r>
                    <a:r>
                      <a:rPr sz="1200" b="1">
                        <a:solidFill>
                          <a:schemeClr val="bg1"/>
                        </a:solidFill>
                      </a:rPr>
                      <a:t>%</a:t>
                    </a:r>
                    <a:endParaRPr lang="zh-CN" sz="1200" b="1" i="0" u="none" strike="noStrike" kern="1200" baseline="0">
                      <a:solidFill>
                        <a:schemeClr val="bg1"/>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bg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 (2).xls]Sheet2'!$D$127:$D$134</c:f>
              <c:strCache>
                <c:ptCount val="8"/>
                <c:pt idx="0">
                  <c:v>一般公共服务支出</c:v>
                </c:pt>
                <c:pt idx="1">
                  <c:v>教育支出</c:v>
                </c:pt>
                <c:pt idx="2">
                  <c:v>科学技术支出</c:v>
                </c:pt>
                <c:pt idx="3">
                  <c:v>文化旅游体育与传媒支出</c:v>
                </c:pt>
                <c:pt idx="4">
                  <c:v>社会保障和就业支出</c:v>
                </c:pt>
                <c:pt idx="5">
                  <c:v>卫生健康支出</c:v>
                </c:pt>
                <c:pt idx="6">
                  <c:v>住房保障支出</c:v>
                </c:pt>
                <c:pt idx="7">
                  <c:v>农林水支出</c:v>
                </c:pt>
              </c:strCache>
            </c:strRef>
          </c:cat>
          <c:val>
            <c:numRef>
              <c:f>'[新建 XLS 工作表 (2).xls]Sheet2'!$E$127:$E$134</c:f>
              <c:numCache>
                <c:formatCode>General</c:formatCode>
                <c:ptCount val="8"/>
                <c:pt idx="0">
                  <c:v>1.54</c:v>
                </c:pt>
                <c:pt idx="1">
                  <c:v>0</c:v>
                </c:pt>
                <c:pt idx="2">
                  <c:v>208.82</c:v>
                </c:pt>
                <c:pt idx="3">
                  <c:v>0</c:v>
                </c:pt>
                <c:pt idx="4">
                  <c:v>538.17</c:v>
                </c:pt>
                <c:pt idx="5">
                  <c:v>0</c:v>
                </c:pt>
                <c:pt idx="6">
                  <c:v>198.82</c:v>
                </c:pt>
                <c:pt idx="7">
                  <c:v>2749.65</c:v>
                </c:pt>
              </c:numCache>
            </c:numRef>
          </c:val>
        </c:ser>
        <c:dLbls>
          <c:showLegendKey val="0"/>
          <c:showVal val="0"/>
          <c:showCatName val="0"/>
          <c:showSerName val="0"/>
          <c:showPercent val="0"/>
          <c:showBubbleSize val="0"/>
        </c:dLbls>
      </c:pie3DChart>
      <c:spPr>
        <a:noFill/>
        <a:ln>
          <a:noFill/>
        </a:ln>
        <a:effectLst/>
      </c:spPr>
    </c:plotArea>
    <c:legend>
      <c:legendPos val="t"/>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95833333333333"/>
          <c:y val="0.65162037037037"/>
          <c:w val="0.764583333333333"/>
          <c:h val="0.341435185185185"/>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12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40" b="0" i="0" u="none" strike="noStrike" kern="1200" spc="0" baseline="0">
                <a:solidFill>
                  <a:schemeClr val="tx1"/>
                </a:solidFill>
                <a:latin typeface="+mn-lt"/>
                <a:ea typeface="+mn-ea"/>
                <a:cs typeface="+mn-cs"/>
              </a:defRPr>
            </a:pPr>
            <a:r>
              <a:rPr sz="1440"/>
              <a:t>“三公”经费财政拨款支出决算结构</a:t>
            </a:r>
            <a:endParaRPr sz="144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08577518620149"/>
          <c:y val="0.0572170158030136"/>
        </c:manualLayout>
      </c:layout>
      <c:overlay val="0"/>
      <c:spPr>
        <a:noFill/>
        <a:ln>
          <a:noFill/>
        </a:ln>
        <a:effectLst/>
      </c:spPr>
    </c:title>
    <c:autoTitleDeleted val="0"/>
    <c:view3D>
      <c:rotX val="50"/>
      <c:rotY val="0"/>
      <c:depthPercent val="170"/>
      <c:rAngAx val="0"/>
      <c:perspective val="30"/>
    </c:view3D>
    <c:floor>
      <c:thickness val="0"/>
    </c:floor>
    <c:sideWall>
      <c:thickness val="0"/>
    </c:sideWall>
    <c:backWall>
      <c:thickness val="0"/>
    </c:backWall>
    <c:plotArea>
      <c:layout>
        <c:manualLayout>
          <c:layoutTarget val="inner"/>
          <c:xMode val="edge"/>
          <c:yMode val="edge"/>
          <c:x val="0.117083005446774"/>
          <c:y val="0.195404231391698"/>
          <c:w val="0.824861111111111"/>
          <c:h val="0.547916666666667"/>
        </c:manualLayout>
      </c:layout>
      <c:pie3DChart>
        <c:varyColors val="1"/>
        <c:ser>
          <c:idx val="0"/>
          <c:order val="0"/>
          <c:spPr>
            <a:ln>
              <a:solidFill>
                <a:schemeClr val="bg1"/>
              </a:solidFill>
            </a:ln>
            <a:scene3d>
              <a:camera prst="orthographicFront"/>
              <a:lightRig rig="threePt" dir="t"/>
            </a:scene3d>
            <a:sp3d prstMaterial="flat"/>
          </c:spPr>
          <c:explosion val="0"/>
          <c:dPt>
            <c:idx val="0"/>
            <c:bubble3D val="0"/>
            <c:explosion val="0"/>
            <c:spPr>
              <a:solidFill>
                <a:schemeClr val="accent1"/>
              </a:solidFill>
              <a:ln w="25400">
                <a:solidFill>
                  <a:schemeClr val="bg1"/>
                </a:solidFill>
              </a:ln>
              <a:effectLst/>
              <a:scene3d>
                <a:camera prst="orthographicFront"/>
                <a:lightRig rig="threePt" dir="t"/>
              </a:scene3d>
              <a:sp3d prstMaterial="flat"/>
            </c:spPr>
          </c:dPt>
          <c:dPt>
            <c:idx val="1"/>
            <c:bubble3D val="0"/>
            <c:explosion val="0"/>
            <c:spPr>
              <a:solidFill>
                <a:schemeClr val="accent2"/>
              </a:solidFill>
              <a:ln w="25400">
                <a:solidFill>
                  <a:schemeClr val="bg1"/>
                </a:solidFill>
              </a:ln>
              <a:effectLst/>
              <a:scene3d>
                <a:camera prst="orthographicFront"/>
                <a:lightRig rig="threePt" dir="t"/>
              </a:scene3d>
              <a:sp3d prstMaterial="flat"/>
            </c:spPr>
          </c:dPt>
          <c:dPt>
            <c:idx val="2"/>
            <c:bubble3D val="0"/>
            <c:explosion val="0"/>
            <c:spPr>
              <a:solidFill>
                <a:schemeClr val="accent3"/>
              </a:solidFill>
              <a:ln w="25400">
                <a:solidFill>
                  <a:schemeClr val="bg1"/>
                </a:solidFill>
              </a:ln>
              <a:effectLst/>
              <a:scene3d>
                <a:camera prst="orthographicFront"/>
                <a:lightRig rig="threePt" dir="t"/>
              </a:scene3d>
              <a:sp3d prstMaterial="flat"/>
            </c:spPr>
          </c:dPt>
          <c:dLbls>
            <c:dLbl>
              <c:idx val="0"/>
              <c:layout>
                <c:manualLayout>
                  <c:x val="0.122907115628005"/>
                  <c:y val="0.0353547736550236"/>
                </c:manualLayout>
              </c:layout>
              <c:tx>
                <c:rich>
                  <a:bodyPr rot="0" spcFirstLastPara="0" vertOverflow="ellipsis" vert="horz" wrap="square" lIns="38100" tIns="19050" rIns="38100" bIns="19050" anchor="ctr" anchorCtr="1" forceAA="0"/>
                  <a:lstStyle/>
                  <a:p>
                    <a:pPr defTabSz="914400">
                      <a:defRPr lang="zh-CN" sz="1200" b="1" i="0" u="none" strike="noStrike" kern="1200" baseline="0">
                        <a:solidFill>
                          <a:schemeClr val="accent6">
                            <a:lumMod val="50000"/>
                          </a:schemeClr>
                        </a:solidFill>
                        <a:latin typeface="+mn-lt"/>
                        <a:ea typeface="+mn-ea"/>
                        <a:cs typeface="+mn-cs"/>
                      </a:defRPr>
                    </a:pPr>
                    <a:r>
                      <a:rPr sz="1200" b="1">
                        <a:solidFill>
                          <a:schemeClr val="accent6">
                            <a:lumMod val="50000"/>
                          </a:schemeClr>
                        </a:solidFill>
                      </a:rPr>
                      <a:t>0万元, 0%</a:t>
                    </a:r>
                    <a:endParaRPr lang="zh-CN" sz="1200" b="1" i="0" u="none" strike="noStrike" kern="1200" baseline="0">
                      <a:solidFill>
                        <a:schemeClr val="accent6">
                          <a:lumMod val="50000"/>
                        </a:schemeClr>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200" b="1" i="0" u="none" strike="noStrike" kern="1200" baseline="0">
                      <a:solidFill>
                        <a:schemeClr val="accent6">
                          <a:lumMod val="50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forceAA="0"/>
                  <a:lstStyle/>
                  <a:p>
                    <a:pPr defTabSz="914400">
                      <a:defRPr lang="zh-CN" sz="1200" b="1" i="0" u="none" strike="noStrike" kern="1200" baseline="0">
                        <a:solidFill>
                          <a:schemeClr val="bg1"/>
                        </a:solidFill>
                        <a:latin typeface="+mn-lt"/>
                        <a:ea typeface="+mn-ea"/>
                        <a:cs typeface="+mn-cs"/>
                      </a:defRPr>
                    </a:pPr>
                    <a:r>
                      <a:rPr sz="1200" b="1">
                        <a:solidFill>
                          <a:schemeClr val="bg1"/>
                        </a:solidFill>
                      </a:rPr>
                      <a:t>27.97万元, 9</a:t>
                    </a:r>
                    <a:r>
                      <a:rPr lang="en-US" altLang="zh-CN" sz="1200" b="1">
                        <a:solidFill>
                          <a:schemeClr val="bg1"/>
                        </a:solidFill>
                      </a:rPr>
                      <a:t>6.55</a:t>
                    </a:r>
                    <a:r>
                      <a:rPr sz="1200" b="1">
                        <a:solidFill>
                          <a:schemeClr val="bg1"/>
                        </a:solidFill>
                      </a:rPr>
                      <a:t>%</a:t>
                    </a:r>
                    <a:endParaRPr lang="zh-CN" sz="1200" b="1" i="0" u="none" strike="noStrike" kern="1200" baseline="0">
                      <a:solidFill>
                        <a:schemeClr val="bg1"/>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200" b="1" i="0" u="none" strike="noStrike" kern="1200" baseline="0">
                      <a:solidFill>
                        <a:schemeClr val="bg1"/>
                      </a:solidFill>
                      <a:latin typeface="+mn-lt"/>
                      <a:ea typeface="+mn-ea"/>
                      <a:cs typeface="+mn-cs"/>
                    </a:defRPr>
                  </a:pPr>
                </a:p>
              </c:txPr>
              <c:dLblPos val="inEnd"/>
              <c:showLegendKey val="0"/>
              <c:showVal val="1"/>
              <c:showCatName val="0"/>
              <c:showSerName val="0"/>
              <c:showPercent val="1"/>
              <c:showBubbleSize val="0"/>
              <c:extLst>
                <c:ext xmlns:c15="http://schemas.microsoft.com/office/drawing/2012/chart" uri="{CE6537A1-D6FC-4f65-9D91-7224C49458BB}"/>
              </c:extLst>
            </c:dLbl>
            <c:dLbl>
              <c:idx val="2"/>
              <c:layout>
                <c:manualLayout>
                  <c:x val="-0.100341727669187"/>
                  <c:y val="0.043522378345052"/>
                </c:manualLayout>
              </c:layout>
              <c:tx>
                <c:rich>
                  <a:bodyPr rot="0" spcFirstLastPara="0" vertOverflow="ellipsis" vert="horz" wrap="square" lIns="38100" tIns="19050" rIns="38100" bIns="19050" anchor="ctr" anchorCtr="1" forceAA="0"/>
                  <a:lstStyle/>
                  <a:p>
                    <a:pPr defTabSz="914400">
                      <a:defRPr lang="zh-CN" sz="1200" b="1" i="0" u="none" strike="noStrike" kern="1200" baseline="0">
                        <a:solidFill>
                          <a:schemeClr val="accent6">
                            <a:lumMod val="50000"/>
                          </a:schemeClr>
                        </a:solidFill>
                        <a:latin typeface="+mn-lt"/>
                        <a:ea typeface="+mn-ea"/>
                        <a:cs typeface="+mn-cs"/>
                      </a:defRPr>
                    </a:pPr>
                    <a:r>
                      <a:rPr sz="1200" b="1">
                        <a:solidFill>
                          <a:schemeClr val="accent6">
                            <a:lumMod val="50000"/>
                          </a:schemeClr>
                        </a:solidFill>
                      </a:rPr>
                      <a:t>1万元, 3</a:t>
                    </a:r>
                    <a:r>
                      <a:rPr lang="en-US" altLang="zh-CN" sz="1200" b="1">
                        <a:solidFill>
                          <a:schemeClr val="accent6">
                            <a:lumMod val="50000"/>
                          </a:schemeClr>
                        </a:solidFill>
                      </a:rPr>
                      <a:t>.45</a:t>
                    </a:r>
                    <a:r>
                      <a:rPr sz="1200" b="1">
                        <a:solidFill>
                          <a:schemeClr val="accent6">
                            <a:lumMod val="50000"/>
                          </a:schemeClr>
                        </a:solidFill>
                      </a:rPr>
                      <a:t>%</a:t>
                    </a:r>
                    <a:endParaRPr lang="zh-CN" sz="1200" b="1" i="0" u="none" strike="noStrike" kern="1200" baseline="0">
                      <a:solidFill>
                        <a:schemeClr val="accent6">
                          <a:lumMod val="50000"/>
                        </a:schemeClr>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200" b="1" i="0" u="none" strike="noStrike" kern="1200" baseline="0">
                      <a:solidFill>
                        <a:schemeClr val="accent6">
                          <a:lumMod val="50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17636439383419"/>
                      <c:h val="0.128275322643723"/>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200" b="1" i="0" u="none" strike="noStrike" kern="1200" baseline="0">
                    <a:solidFill>
                      <a:schemeClr val="accent6">
                        <a:lumMod val="50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 (2).xls]Sheet2'!$D$147:$D$149</c:f>
              <c:strCache>
                <c:ptCount val="3"/>
                <c:pt idx="0">
                  <c:v>因公出国（境）费支出决算</c:v>
                </c:pt>
                <c:pt idx="1">
                  <c:v>公务用车购置及运行维护费支出决算</c:v>
                </c:pt>
                <c:pt idx="2">
                  <c:v>公务接待费支出决算</c:v>
                </c:pt>
              </c:strCache>
            </c:strRef>
          </c:cat>
          <c:val>
            <c:numRef>
              <c:f>'[新建 XLS 工作表 (2).xls]Sheet2'!$E$147:$E$149</c:f>
              <c:numCache>
                <c:formatCode>General</c:formatCode>
                <c:ptCount val="3"/>
                <c:pt idx="0">
                  <c:v>0</c:v>
                </c:pt>
                <c:pt idx="1">
                  <c:v>27.97</c:v>
                </c:pt>
                <c:pt idx="2">
                  <c:v>1</c:v>
                </c:pt>
              </c:numCache>
            </c:numRef>
          </c:val>
        </c:ser>
        <c:dLbls>
          <c:showLegendKey val="0"/>
          <c:showVal val="0"/>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50000"/>
                    <a:lumOff val="50000"/>
                  </a:schemeClr>
                </a:solidFill>
                <a:latin typeface="+mn-lt"/>
                <a:ea typeface="+mn-ea"/>
                <a:cs typeface="+mn-cs"/>
              </a:defRPr>
            </a:pPr>
          </a:p>
        </c:txPr>
      </c:legendEntry>
      <c:layout>
        <c:manualLayout>
          <c:xMode val="edge"/>
          <c:yMode val="edge"/>
          <c:x val="0.00416666666666667"/>
          <c:y val="0.790509259259259"/>
          <c:w val="0.983333333333333"/>
          <c:h val="0.181712962962963"/>
        </c:manualLayout>
      </c:layout>
      <c:overlay val="0"/>
      <c:txPr>
        <a:bodyPr rot="0" spcFirstLastPara="0" vertOverflow="ellipsis" vert="horz" wrap="square" anchor="ctr" anchorCtr="1" forceAA="0"/>
        <a:lstStyle/>
        <a:p>
          <a:pPr>
            <a:defRPr lang="zh-CN" sz="12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gradFill>
      <a:gsLst>
        <a:gs pos="3000">
          <a:schemeClr val="bg1"/>
        </a:gs>
        <a:gs pos="2000">
          <a:schemeClr val="accent3"/>
        </a:gs>
      </a:gsLst>
      <a:lin ang="5400000" scaled="0"/>
    </a:gradFill>
    <a:ln w="9525" cap="flat" cmpd="sng" algn="ctr">
      <a:solidFill>
        <a:schemeClr val="bg1">
          <a:lumMod val="85000"/>
        </a:schemeClr>
      </a:solidFill>
      <a:prstDash val="solid"/>
      <a:round/>
    </a:ln>
    <a:effectLst/>
  </c:spPr>
  <c:txPr>
    <a:bodyPr wrap="square"/>
    <a:lstStyle/>
    <a:p>
      <a:pPr>
        <a:defRPr lang="zh-CN" sz="12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09">
    <a:dk1>
      <a:srgbClr val="000000"/>
    </a:dk1>
    <a:lt1>
      <a:srgbClr val="FFFFFF"/>
    </a:lt1>
    <a:dk2>
      <a:srgbClr val="0C0E1F"/>
    </a:dk2>
    <a:lt2>
      <a:srgbClr val="FEFFFF"/>
    </a:lt2>
    <a:accent1>
      <a:srgbClr val="EC7D4D"/>
    </a:accent1>
    <a:accent2>
      <a:srgbClr val="F8A265"/>
    </a:accent2>
    <a:accent3>
      <a:srgbClr val="B9B99D"/>
    </a:accent3>
    <a:accent4>
      <a:srgbClr val="FFE5BA"/>
    </a:accent4>
    <a:accent5>
      <a:srgbClr val="91B5F0"/>
    </a:accent5>
    <a:accent6>
      <a:srgbClr val="6AA0C2"/>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3</TotalTime>
  <ScaleCrop>false</ScaleCrop>
  <LinksUpToDate>false</LinksUpToDate>
  <CharactersWithSpaces>8241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聂蓉</cp:lastModifiedBy>
  <cp:lastPrinted>2023-09-06T09:36:33Z</cp:lastPrinted>
  <dcterms:modified xsi:type="dcterms:W3CDTF">2023-09-06T09:37:50Z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740E6622F78A47E7BFA69A032ACFCB37_13</vt:lpwstr>
  </property>
</Properties>
</file>